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ind w:left="2833" w:hanging="1901"/>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智能制造产线夹具设计与调试实训室建设项目</w:t>
      </w:r>
      <w:r/>
    </w:p>
    <w:p>
      <w:pPr>
        <w:ind w:left="2833" w:hanging="1901"/>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项目编号/包号：</w:t>
      </w:r>
      <w:r>
        <w:rPr>
          <w:rFonts w:hint="eastAsia" w:ascii="宋体" w:hAnsi="宋体" w:cs="宋体"/>
          <w:bCs/>
          <w:color w:val="000000"/>
          <w:sz w:val="36"/>
          <w:szCs w:val="36"/>
          <w:highlight w:val="none"/>
          <w:lang w:eastAsia="zh-CN"/>
        </w:rPr>
        <w:t xml:space="preserve">JSZC-320400-QGZB-G2025-0007</w:t>
      </w:r>
      <w:r/>
    </w:p>
    <w:p>
      <w:pPr>
        <w:ind w:left="2833" w:hanging="1901"/>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 购 人：</w:t>
      </w:r>
      <w:r>
        <w:rPr>
          <w:rFonts w:hint="eastAsia" w:ascii="宋体" w:hAnsi="宋体" w:eastAsia="宋体" w:cs="宋体"/>
          <w:bCs/>
          <w:color w:val="000000"/>
          <w:sz w:val="36"/>
          <w:szCs w:val="36"/>
          <w:highlight w:val="none"/>
          <w:lang w:eastAsia="zh-CN"/>
        </w:rPr>
        <w:t xml:space="preserve">常州机电职业技术学院</w:t>
      </w:r>
      <w:r/>
    </w:p>
    <w:p>
      <w:pPr>
        <w:ind w:left="2833" w:hanging="1901"/>
        <w:jc w:val="left"/>
        <w:spacing w:line="360" w:lineRule="auto"/>
        <w:tabs>
          <w:tab w:val="left" w:pos="3240" w:leader="none"/>
          <w:tab w:val="left" w:pos="3420" w:leader="none"/>
        </w:tabs>
        <w:rPr>
          <w:rFonts w:hint="eastAsia" w:ascii="宋体" w:hAnsi="宋体" w:eastAsia="宋体" w:cs="宋体"/>
          <w:b/>
          <w:color w:val="000000"/>
          <w:sz w:val="44"/>
          <w:szCs w:val="44"/>
          <w:highlight w:val="none"/>
        </w:rPr>
        <w:outlineLvl w:val="9"/>
      </w:pPr>
      <w:r>
        <w:rPr>
          <w:rFonts w:hint="eastAsia" w:ascii="宋体" w:hAnsi="宋体" w:eastAsia="宋体" w:cs="宋体"/>
          <w:bCs/>
          <w:color w:val="000000"/>
          <w:sz w:val="36"/>
          <w:szCs w:val="36"/>
          <w:highlight w:val="none"/>
        </w:rPr>
        <w:t xml:space="preserve">采购代理机构：</w:t>
      </w:r>
      <w:r>
        <w:rPr>
          <w:rFonts w:hint="eastAsia" w:ascii="宋体" w:hAnsi="宋体" w:eastAsia="宋体" w:cs="宋体"/>
          <w:bCs/>
          <w:color w:val="000000"/>
          <w:sz w:val="36"/>
          <w:szCs w:val="36"/>
          <w:highlight w:val="none"/>
          <w:lang w:eastAsia="zh-CN"/>
        </w:rPr>
        <w:t xml:space="preserve">常州青果招投标有限公司</w:t>
      </w:r>
      <w:r>
        <w:rPr>
          <w:rFonts w:hint="eastAsia" w:ascii="宋体" w:hAnsi="宋体" w:eastAsia="宋体" w:cs="宋体"/>
          <w:b/>
          <w:color w:val="000000"/>
          <w:sz w:val="72"/>
          <w:highlight w:val="none"/>
        </w:rPr>
        <w:br w:type="page" w:clear="all"/>
      </w:r>
      <w:bookmarkStart w:id="0" w:name="_Toc99301418"/>
      <w:r/>
      <w:r/>
    </w:p>
    <w:p>
      <w:pPr>
        <w:ind w:left="0" w:firstLine="0"/>
        <w:jc w:val="center"/>
        <w:spacing w:line="360" w:lineRule="auto"/>
        <w:tabs>
          <w:tab w:val="left" w:pos="3240" w:leader="none"/>
          <w:tab w:val="left" w:pos="3420" w:leader="none"/>
        </w:tabs>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t xml:space="preserve">目      录</w:t>
      </w:r>
      <w:bookmarkEnd w:id="0"/>
      <w:r/>
      <w:r/>
    </w:p>
    <w:p>
      <w:pPr>
        <w:pStyle w:val="840"/>
        <w:spacing w:line="360" w:lineRule="auto"/>
        <w:tabs>
          <w:tab w:val="right" w:pos="9747" w:leader="dot"/>
        </w:tabs>
        <w:rPr>
          <w:color w:val="000000"/>
          <w:sz w:val="28"/>
          <w:szCs w:val="28"/>
          <w:highlight w:val="none"/>
        </w:rPr>
      </w:pPr>
      <w:r>
        <w:rPr>
          <w:rFonts w:hint="eastAsia" w:ascii="宋体" w:hAnsi="宋体" w:eastAsia="宋体" w:cs="宋体"/>
          <w:b w:val="0"/>
          <w:color w:val="000000"/>
          <w:sz w:val="28"/>
          <w:szCs w:val="28"/>
          <w:highlight w:val="none"/>
        </w:rPr>
        <w:fldChar w:fldCharType="begin"/>
      </w:r>
      <w:r>
        <w:rPr>
          <w:rFonts w:hint="eastAsia" w:ascii="宋体" w:hAnsi="宋体" w:eastAsia="宋体" w:cs="宋体"/>
          <w:b w:val="0"/>
          <w:color w:val="000000"/>
          <w:sz w:val="28"/>
          <w:szCs w:val="28"/>
          <w:highlight w:val="none"/>
        </w:rPr>
        <w:instrText xml:space="preserve"> TOC \o "1-1" \h \z \u </w:instrText>
      </w:r>
      <w:r>
        <w:rPr>
          <w:rFonts w:hint="eastAsia" w:ascii="宋体" w:hAnsi="宋体" w:eastAsia="宋体" w:cs="宋体"/>
          <w:b w:val="0"/>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_Toc12473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_Toc12473 \h </w:instrText>
      </w:r>
      <w:r>
        <w:rPr>
          <w:color w:val="000000"/>
          <w:sz w:val="28"/>
          <w:szCs w:val="28"/>
          <w:highlight w:val="none"/>
        </w:rPr>
        <w:fldChar w:fldCharType="separate"/>
      </w:r>
      <w:r>
        <w:rPr>
          <w:color w:val="000000"/>
          <w:sz w:val="28"/>
          <w:szCs w:val="28"/>
          <w:highlight w:val="none"/>
        </w:rPr>
        <w:t xml:space="preserve">3</w:t>
      </w:r>
      <w:r>
        <w:rPr>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840"/>
        <w:spacing w:line="360" w:lineRule="auto"/>
        <w:tabs>
          <w:tab w:val="right" w:pos="9747" w:leader="dot"/>
        </w:tabs>
        <w:rPr>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_Toc29666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_Toc29666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840"/>
        <w:spacing w:line="360" w:lineRule="auto"/>
        <w:tabs>
          <w:tab w:val="right" w:pos="9747" w:leader="dot"/>
        </w:tabs>
        <w:rPr>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_Toc16107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_Toc16107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840"/>
        <w:spacing w:line="360" w:lineRule="auto"/>
        <w:tabs>
          <w:tab w:val="right" w:pos="9747" w:leader="dot"/>
        </w:tabs>
        <w:rPr>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_Toc5039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_Toc5039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840"/>
        <w:spacing w:line="360" w:lineRule="auto"/>
        <w:tabs>
          <w:tab w:val="right" w:pos="9747" w:leader="dot"/>
        </w:tabs>
        <w:rPr>
          <w:rFonts w:hint="default" w:eastAsia="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_Toc22907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color w:val="000000"/>
          <w:sz w:val="28"/>
          <w:szCs w:val="28"/>
          <w:highlight w:val="none"/>
          <w:lang w:val="en-US" w:eastAsia="zh-CN"/>
        </w:rPr>
        <w:t xml:space="preserve">29</w:t>
      </w:r>
      <w:r/>
    </w:p>
    <w:p>
      <w:pPr>
        <w:pStyle w:val="840"/>
        <w:spacing w:line="360" w:lineRule="auto"/>
        <w:tabs>
          <w:tab w:val="right" w:pos="9747" w:leader="dot"/>
        </w:tabs>
        <w:rPr>
          <w:rFonts w:hint="default" w:eastAsia="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_Toc19138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color w:val="000000"/>
          <w:sz w:val="28"/>
          <w:szCs w:val="28"/>
          <w:highlight w:val="none"/>
          <w:lang w:val="en-US" w:eastAsia="zh-CN"/>
        </w:rPr>
        <w:t xml:space="preserve">38</w:t>
      </w:r>
      <w:r/>
    </w:p>
    <w:p>
      <w:pPr>
        <w:pStyle w:val="840"/>
        <w:spacing w:line="360" w:lineRule="auto"/>
        <w:tabs>
          <w:tab w:val="right" w:pos="9747" w:leader="dot"/>
        </w:tabs>
        <w:rPr>
          <w:rFonts w:hint="default" w:eastAsia="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_Toc16922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投标文件格式</w:t>
      </w:r>
      <w:r>
        <w:rPr>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color w:val="000000"/>
          <w:sz w:val="28"/>
          <w:szCs w:val="28"/>
          <w:highlight w:val="none"/>
          <w:lang w:val="en-US" w:eastAsia="zh-CN"/>
        </w:rPr>
        <w:t xml:space="preserve">47</w:t>
      </w:r>
      <w:r/>
    </w:p>
    <w:p>
      <w:pPr>
        <w:pStyle w:val="1041"/>
        <w:spacing w:line="360" w:lineRule="auto"/>
        <w:rPr>
          <w:rFonts w:hint="eastAsia" w:ascii="宋体" w:hAnsi="宋体" w:eastAsia="宋体" w:cs="宋体"/>
          <w:b w:val="0"/>
          <w:color w:val="000000"/>
          <w:highlight w:val="none"/>
        </w:rPr>
      </w:pPr>
      <w:r>
        <w:rPr>
          <w:rFonts w:hint="eastAsia" w:ascii="宋体" w:hAnsi="宋体" w:eastAsia="宋体" w:cs="宋体"/>
          <w:color w:val="000000"/>
          <w:sz w:val="28"/>
          <w:szCs w:val="28"/>
          <w:highlight w:val="none"/>
        </w:rPr>
        <w:fldChar w:fldCharType="end"/>
      </w:r>
      <w:r/>
    </w:p>
    <w:p>
      <w:pPr>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highlight w:val="none"/>
        </w:rPr>
        <w:br w:type="page" w:clear="all"/>
      </w:r>
      <w:bookmarkStart w:id="1" w:name="_Toc12473"/>
      <w:r/>
      <w:bookmarkStart w:id="2" w:name="_Toc99301419"/>
      <w:r>
        <w:rPr>
          <w:rFonts w:hint="eastAsia" w:ascii="宋体" w:hAnsi="宋体" w:eastAsia="宋体" w:cs="宋体"/>
          <w:b/>
          <w:color w:val="000000"/>
          <w:sz w:val="36"/>
          <w:szCs w:val="36"/>
          <w:highlight w:val="none"/>
        </w:rPr>
        <w:t xml:space="preserve">第一章   投标邀请</w:t>
      </w:r>
      <w:bookmarkEnd w:id="1"/>
      <w:r/>
      <w:bookmarkEnd w:id="2"/>
      <w:r/>
      <w:r/>
    </w:p>
    <w:p>
      <w:pPr>
        <w:ind w:firstLine="64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64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智能制造产线夹具设计与调试实训室建设项目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lang w:bidi="ar"/>
        </w:rPr>
        <w:t xml:space="preserve">“苏采云”政府采购一体化平台</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b/>
          <w:color w:val="000000"/>
          <w:sz w:val="24"/>
          <w:szCs w:val="24"/>
          <w:highlight w:val="none"/>
          <w:lang w:eastAsia="zh-CN"/>
        </w:rPr>
        <w:t xml:space="preserve">2025年</w:t>
      </w:r>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eastAsia="zh-CN"/>
        </w:rPr>
        <w:t xml:space="preserve">点</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lang w:eastAsia="zh-CN"/>
        </w:rPr>
        <w:t xml:space="preserve">分</w:t>
      </w:r>
      <w:r>
        <w:rPr>
          <w:rFonts w:hint="eastAsia" w:ascii="宋体" w:hAnsi="宋体" w:eastAsia="宋体" w:cs="宋体"/>
          <w:b/>
          <w:bCs/>
          <w:color w:val="000000"/>
          <w:sz w:val="24"/>
          <w:szCs w:val="24"/>
          <w:highlight w:val="non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pStyle w:val="992"/>
        <w:ind w:firstLine="643"/>
        <w:jc w:val="left"/>
        <w:spacing w:before="240" w:line="360" w:lineRule="auto"/>
        <w:rPr>
          <w:rFonts w:hint="eastAsia" w:ascii="宋体" w:hAnsi="宋体" w:eastAsia="宋体" w:cs="宋体"/>
          <w:color w:val="000000"/>
          <w:sz w:val="24"/>
          <w:szCs w:val="24"/>
          <w:highlight w:val="none"/>
        </w:rPr>
      </w:pPr>
      <w:r/>
      <w:bookmarkStart w:id="3" w:name="_Toc28359002"/>
      <w:r/>
      <w:bookmarkStart w:id="4" w:name="_Toc35393621"/>
      <w:r/>
      <w:bookmarkStart w:id="5" w:name="_Toc35393790"/>
      <w:r/>
      <w:bookmarkStart w:id="6" w:name="_Toc28359079"/>
      <w:r/>
      <w:bookmarkStart w:id="7" w:name="_Hlk24379207"/>
      <w:r>
        <w:rPr>
          <w:rFonts w:hint="eastAsia" w:ascii="宋体" w:hAnsi="宋体" w:eastAsia="宋体" w:cs="宋体"/>
          <w:color w:val="000000"/>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1.项目编号/包号：</w:t>
      </w:r>
      <w:r>
        <w:rPr>
          <w:rFonts w:hint="eastAsia" w:ascii="宋体" w:hAnsi="宋体" w:cs="宋体"/>
          <w:color w:val="000000"/>
          <w:sz w:val="24"/>
          <w:szCs w:val="24"/>
          <w:highlight w:val="none"/>
          <w:lang w:eastAsia="zh-CN"/>
        </w:rPr>
        <w:t xml:space="preserve">JSZC-320400-QGZB-G2025-0007</w:t>
      </w:r>
      <w:r/>
    </w:p>
    <w:p>
      <w:pPr>
        <w:ind w:firstLine="6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智能制造产线夹具设计与调试实训室建设项目</w:t>
      </w:r>
      <w:bookmarkEnd w:id="7"/>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人民币</w:t>
      </w:r>
      <w:r>
        <w:rPr>
          <w:rFonts w:hint="eastAsia" w:ascii="宋体" w:hAnsi="宋体" w:cs="宋体"/>
          <w:color w:val="000000"/>
          <w:sz w:val="24"/>
          <w:szCs w:val="24"/>
          <w:highlight w:val="none"/>
          <w:lang w:eastAsia="zh-CN"/>
        </w:rPr>
        <w:t xml:space="preserve">180万元</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4.项目最高限价（如有）：</w:t>
      </w:r>
      <w:r>
        <w:rPr>
          <w:rFonts w:hint="eastAsia" w:ascii="宋体" w:hAnsi="宋体" w:eastAsia="宋体" w:cs="宋体"/>
          <w:color w:val="000000"/>
          <w:sz w:val="24"/>
          <w:szCs w:val="24"/>
          <w:highlight w:val="none"/>
          <w:lang w:eastAsia="zh-CN"/>
        </w:rPr>
        <w:t xml:space="preserve">人民币</w:t>
      </w:r>
      <w:r>
        <w:rPr>
          <w:rFonts w:hint="eastAsia" w:ascii="宋体" w:hAnsi="宋体" w:cs="宋体"/>
          <w:color w:val="000000"/>
          <w:sz w:val="24"/>
          <w:szCs w:val="24"/>
          <w:highlight w:val="none"/>
          <w:lang w:eastAsia="zh-CN"/>
        </w:rPr>
        <w:t xml:space="preserve">180万元</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5.采购需求：本次采购为智能制造产线夹具设计与调试实训室建设采购项目</w:t>
      </w:r>
      <w:r>
        <w:rPr>
          <w:rFonts w:hint="eastAsia" w:ascii="宋体" w:hAnsi="宋体" w:eastAsia="宋体" w:cs="宋体"/>
          <w:color w:val="000000"/>
          <w:sz w:val="24"/>
          <w:szCs w:val="24"/>
          <w:highlight w:val="none"/>
          <w:lang w:val="en-US" w:eastAsia="zh-CN"/>
        </w:rPr>
        <w:t xml:space="preserve">,该项目的采购包括智能夹具综合实训平台、数字孪生软件、夹具虚拟教学软件、智能产线夹具资源包。</w:t>
      </w:r>
      <w:r/>
    </w:p>
    <w:p>
      <w:pPr>
        <w:ind w:left="0" w:right="0" w:firstLine="640"/>
        <w:jc w:val="both"/>
        <w:spacing w:before="0" w:after="0" w:line="360" w:lineRule="auto"/>
        <w:rPr>
          <w:rFonts w:hint="default" w:eastAsia="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rPr>
        <w:t xml:space="preserve">自合同签订之日起90个日历日内完成交货安装并通过采购人验收</w:t>
      </w:r>
      <w:r>
        <w:rPr>
          <w:rFonts w:hint="eastAsia" w:ascii="宋体" w:hAnsi="宋体"/>
          <w:color w:val="auto"/>
          <w:sz w:val="24"/>
          <w:highlight w:val="none"/>
        </w:rPr>
        <w:t xml:space="preserve">。</w:t>
      </w:r>
      <w:r/>
    </w:p>
    <w:p>
      <w:pPr>
        <w:ind w:left="0" w:right="0" w:firstLine="64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7.本项目是否接受联合体投标：□是  ■否。</w:t>
      </w:r>
      <w:r/>
    </w:p>
    <w:p>
      <w:pPr>
        <w:ind w:left="0" w:right="0" w:firstLine="640"/>
        <w:jc w:val="both"/>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8.本项目是否接受进口产品投标：□是  ■否。</w:t>
      </w:r>
      <w:r/>
    </w:p>
    <w:p>
      <w:pPr>
        <w:pStyle w:val="992"/>
        <w:ind w:firstLine="643"/>
        <w:jc w:val="left"/>
        <w:spacing w:before="0" w:line="360" w:lineRule="auto"/>
        <w:rPr>
          <w:rFonts w:hint="eastAsia" w:ascii="宋体" w:hAnsi="宋体" w:eastAsia="宋体" w:cs="宋体"/>
          <w:color w:val="000000"/>
          <w:sz w:val="24"/>
          <w:szCs w:val="24"/>
          <w:highlight w:val="none"/>
        </w:rPr>
      </w:pPr>
      <w:r/>
      <w:bookmarkStart w:id="8" w:name="_Toc28359080"/>
      <w:r/>
      <w:bookmarkStart w:id="9" w:name="_Toc28359003"/>
      <w:r/>
      <w:bookmarkStart w:id="10" w:name="_Toc35393622"/>
      <w:r/>
      <w:bookmarkStart w:id="11" w:name="_Toc35393791"/>
      <w:r>
        <w:rPr>
          <w:rFonts w:hint="eastAsia" w:ascii="宋体" w:hAnsi="宋体" w:eastAsia="宋体" w:cs="宋体"/>
          <w:color w:val="000000"/>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满足《中华人民共和国政府采购法》第二十二条规定以及下列情形：</w:t>
      </w:r>
      <w:r/>
    </w:p>
    <w:p>
      <w:pPr>
        <w:ind w:firstLine="640"/>
        <w:spacing w:line="360" w:lineRule="auto"/>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1.投标人资格声明函</w:t>
      </w:r>
      <w:r/>
    </w:p>
    <w:p>
      <w:pPr>
        <w:ind w:firstLine="640"/>
        <w:spacing w:line="360" w:lineRule="auto"/>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2.投标人信用记录</w:t>
      </w:r>
      <w:r/>
    </w:p>
    <w:p>
      <w:pPr>
        <w:ind w:firstLine="640"/>
        <w:spacing w:line="360" w:lineRule="auto"/>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3.营业执照副本</w:t>
      </w:r>
      <w:r/>
    </w:p>
    <w:p>
      <w:pPr>
        <w:ind w:firstLine="640"/>
        <w:spacing w:line="360" w:lineRule="auto"/>
        <w:rPr>
          <w:rFonts w:hint="eastAsia" w:ascii="宋体" w:hAnsi="宋体" w:eastAsia="宋体" w:cs="宋体"/>
          <w:color w:val="000000"/>
          <w:sz w:val="24"/>
          <w:szCs w:val="24"/>
          <w:highlight w:val="none"/>
        </w:rPr>
      </w:pPr>
      <w:r/>
      <w:bookmarkStart w:id="12" w:name="_Toc28359004"/>
      <w:r/>
      <w:bookmarkStart w:id="13" w:name="_Toc28359081"/>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落实政府采购政策需满足的资格要求：</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中小企业政策</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□本项目不专门面向中小企业预留采购份额。</w:t>
      </w:r>
      <w:r/>
    </w:p>
    <w:p>
      <w:pPr>
        <w:ind w:firstLine="64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■本项目专门面向  ■中小 ■小微企业  采购。即：</w:t>
      </w:r>
      <w:r>
        <w:rPr>
          <w:rFonts w:hint="eastAsia" w:ascii="宋体" w:hAnsi="宋体" w:eastAsia="宋体" w:cs="宋体"/>
          <w:b/>
          <w:color w:val="000000"/>
          <w:sz w:val="24"/>
          <w:szCs w:val="24"/>
          <w:highlight w:val="none"/>
        </w:rPr>
        <w:t xml:space="preserve">提供的货物全部由符合政策要求的中小/小微企业制造。</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□本项目预留部分采购项目预算专门面向中小企业采购。</w:t>
      </w:r>
      <w:r>
        <w:rPr>
          <w:rFonts w:hint="eastAsia" w:ascii="宋体" w:hAnsi="宋体" w:eastAsia="宋体" w:cs="宋体"/>
          <w:b/>
          <w:color w:val="000000"/>
          <w:sz w:val="24"/>
          <w:szCs w:val="24"/>
          <w:highlight w:val="none"/>
        </w:rPr>
        <w:t xml:space="preserve">对于预留份额，提供的货物由符合政策要求的中小企业制造、服务由符合政策要求的中小企业承接。</w:t>
      </w:r>
      <w:r>
        <w:rPr>
          <w:rFonts w:hint="eastAsia" w:ascii="宋体" w:hAnsi="宋体" w:eastAsia="宋体" w:cs="宋体"/>
          <w:color w:val="000000"/>
          <w:sz w:val="24"/>
          <w:szCs w:val="24"/>
          <w:highlight w:val="none"/>
        </w:rPr>
        <w:t xml:space="preserve">预留份额通过以下措施进行：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color w:val="000000"/>
          <w:sz w:val="24"/>
          <w:szCs w:val="24"/>
          <w:highlight w:val="none"/>
        </w:rPr>
        <w:t xml:space="preserve">。</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其它落实政府采购政策的资格要求（如有）：</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640"/>
        <w:spacing w:line="360" w:lineRule="auto"/>
        <w:rPr>
          <w:rFonts w:hint="eastAsia" w:ascii="宋体" w:hAnsi="宋体" w:eastAsia="宋体" w:cs="宋体"/>
          <w:i/>
          <w:iCs/>
          <w:color w:val="000000"/>
          <w:sz w:val="24"/>
          <w:szCs w:val="24"/>
          <w:highlight w:val="none"/>
          <w:u w:val="singl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i/>
          <w:color w:val="000000"/>
          <w:sz w:val="24"/>
          <w:szCs w:val="24"/>
          <w:highlight w:val="none"/>
        </w:rPr>
      </w:pPr>
      <w:r>
        <w:rPr>
          <w:rFonts w:hint="eastAsia" w:ascii="宋体" w:hAnsi="宋体" w:eastAsia="宋体" w:cs="宋体"/>
          <w:color w:val="000000"/>
          <w:sz w:val="24"/>
          <w:szCs w:val="24"/>
          <w:highlight w:val="none"/>
        </w:rPr>
        <w:t xml:space="preserve">3.1本项目是否接受分支机构参与投标：□是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p>
    <w:p>
      <w:pPr>
        <w:ind w:firstLine="64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其他特定资格要求：</w:t>
      </w:r>
      <w:r>
        <w:rPr>
          <w:rFonts w:hint="eastAsia" w:ascii="宋体" w:hAnsi="宋体" w:eastAsia="宋体" w:cs="宋体"/>
          <w:color w:val="000000"/>
          <w:sz w:val="24"/>
          <w:szCs w:val="24"/>
          <w:highlight w:val="none"/>
          <w:lang w:val="en-US" w:eastAsia="zh-CN"/>
        </w:rPr>
        <w:t xml:space="preserve">无</w:t>
      </w:r>
      <w:bookmarkEnd w:id="12"/>
      <w:r/>
      <w:bookmarkEnd w:id="13"/>
      <w:r/>
      <w:r/>
    </w:p>
    <w:p>
      <w:pPr>
        <w:pStyle w:val="992"/>
        <w:ind w:firstLine="643"/>
        <w:jc w:val="left"/>
        <w:spacing w:before="0" w:line="360" w:lineRule="auto"/>
        <w:widowControl/>
        <w:rPr>
          <w:rFonts w:hint="eastAsia" w:ascii="宋体" w:hAnsi="宋体" w:eastAsia="宋体" w:cs="宋体"/>
          <w:color w:val="000000"/>
          <w:sz w:val="24"/>
          <w:szCs w:val="24"/>
          <w:highlight w:val="none"/>
        </w:rPr>
      </w:pPr>
      <w:r/>
      <w:bookmarkStart w:id="14" w:name="_Toc35393623"/>
      <w:r/>
      <w:bookmarkStart w:id="15" w:name="_Toc35393792"/>
      <w:r>
        <w:rPr>
          <w:rFonts w:hint="eastAsia" w:ascii="宋体" w:hAnsi="宋体" w:eastAsia="宋体" w:cs="宋体"/>
          <w:color w:val="000000"/>
          <w:sz w:val="24"/>
          <w:szCs w:val="24"/>
          <w:highlight w:val="none"/>
        </w:rPr>
        <w:t xml:space="preserve">三、获取招标文件</w:t>
      </w:r>
      <w:bookmarkEnd w:id="14"/>
      <w:r/>
      <w:bookmarkEnd w:id="15"/>
      <w:r/>
      <w:r/>
    </w:p>
    <w:p>
      <w:pPr>
        <w:ind w:firstLine="64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1.时间：2025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bidi="ar"/>
        </w:rPr>
        <w:t xml:space="preserve">至2025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bidi="ar"/>
        </w:rPr>
        <w:t xml:space="preserve">。</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2.地点：“苏采云”政府采购一体化平台。</w:t>
      </w:r>
      <w:r/>
    </w:p>
    <w:p>
      <w:pPr>
        <w:ind w:firstLine="6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3.方式：“苏采云”政府采购一体化平台自行免费下载。</w:t>
      </w:r>
      <w:r/>
    </w:p>
    <w:p>
      <w:pPr>
        <w:ind w:firstLine="64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4.售价：0元。</w:t>
      </w:r>
      <w:r/>
    </w:p>
    <w:p>
      <w:pPr>
        <w:pStyle w:val="992"/>
        <w:ind w:firstLine="643"/>
        <w:jc w:val="left"/>
        <w:spacing w:before="0" w:line="360" w:lineRule="auto"/>
        <w:widowControl/>
        <w:rPr>
          <w:rFonts w:hint="eastAsia" w:ascii="宋体" w:hAnsi="宋体" w:eastAsia="宋体" w:cs="宋体"/>
          <w:color w:val="000000"/>
          <w:sz w:val="24"/>
          <w:szCs w:val="24"/>
          <w:highlight w:val="none"/>
        </w:rPr>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szCs w:val="24"/>
          <w:highlight w:val="none"/>
        </w:rPr>
        <w:t xml:space="preserve">四、提交投标文件</w:t>
      </w:r>
      <w:bookmarkEnd w:id="16"/>
      <w:r/>
      <w:bookmarkEnd w:id="17"/>
      <w:r>
        <w:rPr>
          <w:rFonts w:hint="eastAsia" w:ascii="宋体" w:hAnsi="宋体" w:eastAsia="宋体" w:cs="宋体"/>
          <w:color w:val="000000"/>
          <w:sz w:val="24"/>
          <w:szCs w:val="24"/>
          <w:highlight w:val="none"/>
        </w:rPr>
        <w:t xml:space="preserve">截止时间、开标时间和地点</w:t>
      </w:r>
      <w:bookmarkEnd w:id="18"/>
      <w:r/>
      <w:bookmarkEnd w:id="19"/>
      <w:r/>
      <w:r/>
    </w:p>
    <w:p>
      <w:pPr>
        <w:ind w:firstLine="64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投标截止时间、开标时间：</w:t>
      </w:r>
      <w:r>
        <w:rPr>
          <w:rFonts w:hint="eastAsia" w:ascii="宋体" w:hAnsi="宋体" w:eastAsia="宋体" w:cs="宋体"/>
          <w:color w:val="000000"/>
          <w:sz w:val="24"/>
          <w:szCs w:val="24"/>
          <w:highlight w:val="none"/>
          <w:lang w:eastAsia="zh-CN" w:bidi="ar"/>
        </w:rPr>
        <w:t xml:space="preserve">2025年</w:t>
      </w: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eastAsia="zh-CN" w:bidi="ar"/>
        </w:rPr>
        <w:t xml:space="preserve">月</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日</w:t>
      </w: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t xml:space="preserve">点</w:t>
      </w:r>
      <w:r>
        <w:rPr>
          <w:rFonts w:hint="eastAsia" w:ascii="宋体" w:hAnsi="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p>
    <w:p>
      <w:pPr>
        <w:ind w:firstLine="64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地点：“苏采云”政府采购一体化平台。</w:t>
      </w:r>
      <w:r/>
    </w:p>
    <w:p>
      <w:pPr>
        <w:pStyle w:val="992"/>
        <w:ind w:firstLine="643"/>
        <w:jc w:val="left"/>
        <w:spacing w:before="0" w:line="360" w:lineRule="auto"/>
        <w:rPr>
          <w:rFonts w:ascii="宋体" w:hAnsi="宋体" w:eastAsia="宋体" w:cs="宋体"/>
          <w:color w:val="000000"/>
          <w:sz w:val="24"/>
          <w:szCs w:val="24"/>
          <w:highlight w:val="none"/>
          <w:lang w:val="en-US" w:eastAsia="zh-CN"/>
        </w:rPr>
      </w:pPr>
      <w:r/>
      <w:bookmarkStart w:id="20" w:name="_Toc28359084"/>
      <w:r/>
      <w:bookmarkStart w:id="21" w:name="_Toc35393625"/>
      <w:r/>
      <w:bookmarkStart w:id="22" w:name="_Toc35393794"/>
      <w:r/>
      <w:bookmarkStart w:id="23" w:name="_Toc28359007"/>
      <w:r>
        <w:rPr>
          <w:rFonts w:hint="eastAsia" w:ascii="宋体" w:hAnsi="宋体" w:eastAsia="宋体" w:cs="宋体"/>
          <w:color w:val="000000"/>
          <w:sz w:val="24"/>
          <w:szCs w:val="24"/>
          <w:highlight w:val="none"/>
        </w:rPr>
        <w:t xml:space="preserve">五、公告期限</w:t>
      </w:r>
      <w:bookmarkEnd w:id="20"/>
      <w:r/>
      <w:bookmarkEnd w:id="21"/>
      <w:r/>
      <w:bookmarkEnd w:id="22"/>
      <w:r/>
      <w:bookmarkEnd w:id="23"/>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p>
    <w:p>
      <w:pPr>
        <w:pStyle w:val="992"/>
        <w:ind w:firstLine="643"/>
        <w:jc w:val="left"/>
        <w:spacing w:before="0" w:line="360" w:lineRule="auto"/>
        <w:rPr>
          <w:rFonts w:hint="eastAsia" w:ascii="宋体" w:hAnsi="宋体" w:eastAsia="宋体" w:cs="宋体"/>
          <w:color w:val="000000"/>
          <w:sz w:val="24"/>
          <w:szCs w:val="24"/>
          <w:highlight w:val="none"/>
        </w:rPr>
      </w:pPr>
      <w:r/>
      <w:bookmarkStart w:id="24" w:name="_Toc35393626"/>
      <w:r/>
      <w:bookmarkStart w:id="25" w:name="_Toc35393795"/>
      <w:r>
        <w:rPr>
          <w:rFonts w:hint="eastAsia" w:ascii="宋体" w:hAnsi="宋体" w:eastAsia="宋体" w:cs="宋体"/>
          <w:color w:val="000000"/>
          <w:sz w:val="24"/>
          <w:szCs w:val="24"/>
          <w:highlight w:val="none"/>
        </w:rPr>
        <w:t xml:space="preserve">六、其他补充事宜</w:t>
      </w:r>
      <w:bookmarkEnd w:id="24"/>
      <w:r/>
      <w:bookmarkEnd w:id="25"/>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1.本项目需要落实的政府采购政策：</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 </w:t>
      </w:r>
      <w:r/>
    </w:p>
    <w:p>
      <w:pPr>
        <w:ind w:firstLine="64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bidi="ar"/>
        </w:rPr>
        <w:t xml:space="preserve">根据省财政厅《关</w:t>
      </w:r>
      <w:r>
        <w:rPr>
          <w:rFonts w:hint="eastAsia" w:ascii="宋体" w:hAnsi="宋体" w:eastAsia="宋体" w:cs="宋体"/>
          <w:color w:val="000000"/>
          <w:sz w:val="24"/>
          <w:szCs w:val="24"/>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领取CA和办理电子签章（请至常州市锦绣路2号常州市政务服务中心1-1号楼四楼大厅CA办理窗口办理，窗口联系电话0519-85588120，其他联系方式见《</w:t>
      </w:r>
      <w:r>
        <w:rPr>
          <w:rFonts w:hint="eastAsia" w:ascii="宋体" w:hAnsi="宋体" w:eastAsia="宋体" w:cs="宋体"/>
          <w:color w:val="000000"/>
          <w:sz w:val="24"/>
          <w:szCs w:val="24"/>
          <w:highlight w:val="none"/>
          <w:lang w:eastAsia="zh-CN" w:bidi="ar"/>
        </w:rPr>
        <w:t xml:space="preserve">苏采云系统供应商操作手册</w:t>
      </w:r>
      <w:r>
        <w:rPr>
          <w:rFonts w:hint="eastAsia" w:ascii="宋体" w:hAnsi="宋体" w:eastAsia="宋体" w:cs="宋体"/>
          <w:color w:val="000000"/>
          <w:sz w:val="24"/>
          <w:szCs w:val="24"/>
          <w:highlight w:val="none"/>
          <w:lang w:bidi="ar"/>
        </w:rPr>
        <w:t xml:space="preserve">》（以下简称《操作手册》））、进行注册并按《操作手册》要求制作、上传电子投标文件。</w:t>
      </w:r>
      <w:r/>
    </w:p>
    <w:p>
      <w:pPr>
        <w:ind w:firstLine="64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val="zh-TW" w:eastAsia="zh-TW" w:bidi="ar"/>
        </w:rPr>
        <w:t xml:space="preserve">3</w:t>
      </w:r>
      <w:r>
        <w:rPr>
          <w:rFonts w:hint="eastAsia" w:ascii="宋体" w:hAnsi="宋体" w:eastAsia="宋体" w:cs="宋体"/>
          <w:color w:val="000000"/>
          <w:sz w:val="24"/>
          <w:szCs w:val="24"/>
          <w:highlight w:val="none"/>
          <w:lang w:val="zh-TW" w:bidi="ar"/>
        </w:rPr>
        <w:t xml:space="preserve">.关于常州市中小企业政府采购信用融资：</w:t>
      </w:r>
      <w:r/>
    </w:p>
    <w:p>
      <w:pPr>
        <w:ind w:firstLine="640"/>
        <w:spacing w:line="360" w:lineRule="auto"/>
        <w:rPr>
          <w:rFonts w:hint="eastAsia" w:ascii="宋体" w:hAnsi="宋体" w:eastAsia="宋体" w:cs="宋体"/>
          <w:color w:val="000000"/>
          <w:sz w:val="24"/>
          <w:szCs w:val="24"/>
          <w:highlight w:val="none"/>
          <w:lang w:val="zh-TW" w:bidi="ar"/>
        </w:rPr>
      </w:pPr>
      <w:r>
        <w:rPr>
          <w:rFonts w:hint="eastAsia" w:ascii="宋体" w:hAnsi="宋体" w:eastAsia="宋体" w:cs="宋体"/>
          <w:color w:val="000000"/>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92"/>
        <w:ind w:firstLine="643"/>
        <w:jc w:val="left"/>
        <w:spacing w:before="0" w:line="360" w:lineRule="auto"/>
        <w:rPr>
          <w:rFonts w:hint="eastAsia" w:ascii="宋体" w:hAnsi="宋体" w:eastAsia="宋体" w:cs="宋体"/>
          <w:color w:val="000000"/>
          <w:sz w:val="24"/>
          <w:szCs w:val="24"/>
          <w:highlight w:val="none"/>
        </w:rPr>
      </w:pPr>
      <w:r/>
      <w:bookmarkStart w:id="26" w:name="_Toc28359008"/>
      <w:r/>
      <w:bookmarkStart w:id="27" w:name="_Toc28359085"/>
      <w:r/>
      <w:bookmarkStart w:id="28" w:name="_Toc35393627"/>
      <w:r/>
      <w:bookmarkStart w:id="29" w:name="_Toc35393796"/>
      <w:r>
        <w:rPr>
          <w:rFonts w:hint="eastAsia" w:ascii="宋体" w:hAnsi="宋体" w:eastAsia="宋体" w:cs="宋体"/>
          <w:color w:val="000000"/>
          <w:sz w:val="24"/>
          <w:szCs w:val="24"/>
          <w:highlight w:val="none"/>
        </w:rPr>
        <w:t xml:space="preserve">七、对本次招标提出询问，请按以下方式联系。</w:t>
      </w:r>
      <w:bookmarkEnd w:id="26"/>
      <w:r/>
      <w:bookmarkEnd w:id="27"/>
      <w:r/>
      <w:bookmarkEnd w:id="28"/>
      <w:r/>
      <w:bookmarkEnd w:id="29"/>
      <w:r/>
      <w:r/>
    </w:p>
    <w:p>
      <w:pPr>
        <w:ind w:firstLine="6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信息</w:t>
      </w:r>
      <w:r/>
    </w:p>
    <w:p>
      <w:pPr>
        <w:ind w:firstLine="640"/>
        <w:jc w:val="left"/>
        <w:spacing w:line="360" w:lineRule="auto"/>
        <w:rPr>
          <w:rFonts w:hint="eastAsia" w:ascii="宋体" w:hAnsi="宋体" w:eastAsia="宋体" w:cs="宋体"/>
          <w:color w:val="000000"/>
          <w:sz w:val="24"/>
          <w:szCs w:val="24"/>
          <w:highlight w:val="none"/>
          <w:lang w:eastAsia="zh-CN"/>
        </w:rPr>
      </w:pPr>
      <w:r/>
      <w:bookmarkStart w:id="30" w:name="_Toc28359086"/>
      <w:r/>
      <w:bookmarkStart w:id="31"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常州机电职业技术学院</w:t>
      </w:r>
      <w:r/>
    </w:p>
    <w:p>
      <w:pPr>
        <w:ind w:firstLine="6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val="en-US" w:eastAsia="zh-CN"/>
        </w:rPr>
        <w:t xml:space="preserve">常州市武进区鸣新中路26号</w:t>
      </w:r>
      <w:r/>
    </w:p>
    <w:p>
      <w:pPr>
        <w:ind w:firstLine="6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highlight w:val="none"/>
          <w:lang w:val="en-US" w:eastAsia="zh-CN"/>
        </w:rPr>
        <w:t xml:space="preserve">封老师 </w:t>
      </w:r>
      <w:r>
        <w:rPr>
          <w:rFonts w:hint="eastAsia" w:ascii="宋体" w:hAnsi="宋体" w:eastAsia="宋体" w:cs="宋体"/>
          <w:color w:val="000000"/>
          <w:sz w:val="24"/>
          <w:szCs w:val="24"/>
          <w:highlight w:val="none"/>
          <w:lang w:eastAsia="zh-CN"/>
        </w:rPr>
        <w:t xml:space="preserve">0519-</w:t>
      </w:r>
      <w:r>
        <w:rPr>
          <w:rFonts w:hint="eastAsia" w:ascii="宋体" w:hAnsi="宋体" w:eastAsia="宋体" w:cs="宋体"/>
          <w:color w:val="000000"/>
          <w:sz w:val="24"/>
          <w:szCs w:val="24"/>
          <w:highlight w:val="none"/>
          <w:lang w:val="en-US" w:eastAsia="zh-CN"/>
        </w:rPr>
        <w:t xml:space="preserve">86331299</w:t>
      </w:r>
      <w:r/>
    </w:p>
    <w:p>
      <w:pPr>
        <w:ind w:firstLine="643"/>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2.采购代理机构信息</w:t>
      </w:r>
      <w:bookmarkEnd w:id="30"/>
      <w:r/>
      <w:bookmarkEnd w:id="31"/>
      <w:r/>
      <w:r/>
    </w:p>
    <w:p>
      <w:pPr>
        <w:ind w:firstLine="640"/>
        <w:spacing w:line="360" w:lineRule="auto"/>
        <w:rPr>
          <w:rFonts w:hint="eastAsia" w:ascii="宋体" w:hAnsi="宋体" w:eastAsia="宋体" w:cs="宋体"/>
          <w:color w:val="000000"/>
          <w:sz w:val="24"/>
          <w:szCs w:val="24"/>
          <w:highlight w:val="none"/>
          <w:lang w:eastAsia="zh-CN"/>
        </w:rPr>
      </w:pPr>
      <w:r/>
      <w:bookmarkStart w:id="32" w:name="_Toc28359010"/>
      <w:r/>
      <w:bookmarkStart w:id="33" w:name="_Toc28359087"/>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常州青果招投标有限公司</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常州市延陵西路53号（常州大酒店B座11层）</w:t>
      </w:r>
      <w:r/>
    </w:p>
    <w:p>
      <w:pPr>
        <w:ind w:firstLine="64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张工 0519-68979906</w:t>
      </w:r>
      <w:bookmarkEnd w:id="32"/>
      <w:r/>
      <w:bookmarkEnd w:id="33"/>
      <w:r/>
      <w:r/>
    </w:p>
    <w:p>
      <w:pPr>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34" w:name="_Toc99301420"/>
      <w:r/>
      <w:bookmarkStart w:id="35" w:name="_Toc265228423"/>
      <w:r/>
      <w:bookmarkStart w:id="36" w:name="_Toc150774783"/>
      <w:r/>
      <w:bookmarkStart w:id="37" w:name="_Toc512937850"/>
      <w:r/>
      <w:bookmarkStart w:id="38" w:name="_Toc264969275"/>
      <w:r/>
      <w:bookmarkStart w:id="39" w:name="_Toc29666"/>
      <w:r/>
      <w:bookmarkStart w:id="40" w:name="_Toc305158928"/>
      <w:r/>
      <w:bookmarkStart w:id="41" w:name="_Toc353873938"/>
      <w:r/>
      <w:bookmarkStart w:id="42" w:name="_Toc127161488"/>
      <w:r/>
      <w:bookmarkStart w:id="43" w:name="_Toc305158854"/>
      <w:r/>
      <w:bookmarkStart w:id="44" w:name="_Toc195842950"/>
      <w:r/>
      <w:bookmarkStart w:id="45" w:name="_Toc226965856"/>
      <w:r/>
      <w:bookmarkStart w:id="46" w:name="_Toc353825548"/>
      <w:r/>
      <w:bookmarkStart w:id="47" w:name="_Toc127151777"/>
      <w:r>
        <w:rPr>
          <w:rFonts w:hint="eastAsia" w:ascii="宋体" w:hAnsi="宋体" w:eastAsia="宋体" w:cs="宋体"/>
          <w:b/>
          <w:color w:val="000000"/>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992"/>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48" w:name="_Toc150774724"/>
      <w:r/>
      <w:bookmarkStart w:id="49" w:name="_Toc151193833"/>
      <w:r/>
      <w:bookmarkStart w:id="50" w:name="_Toc127151720"/>
      <w:r/>
      <w:bookmarkStart w:id="51" w:name="_Toc164608788"/>
      <w:r/>
      <w:bookmarkStart w:id="52" w:name="_Toc226337215"/>
      <w:r/>
      <w:bookmarkStart w:id="53" w:name="_Toc150480757"/>
      <w:r/>
      <w:bookmarkStart w:id="54" w:name="_Toc127161433"/>
      <w:r/>
      <w:bookmarkStart w:id="55" w:name="_Toc150509270"/>
      <w:r/>
      <w:bookmarkStart w:id="56" w:name="_Toc151193907"/>
      <w:r/>
      <w:bookmarkStart w:id="57" w:name="_Toc164608633"/>
      <w:r/>
      <w:bookmarkStart w:id="58" w:name="_Toc142311021"/>
      <w:r/>
      <w:bookmarkStart w:id="59" w:name="_Toc151193689"/>
      <w:r/>
      <w:bookmarkStart w:id="60" w:name="_Toc164229360"/>
      <w:r/>
      <w:bookmarkStart w:id="61" w:name="_Toc226309763"/>
      <w:r/>
      <w:bookmarkStart w:id="62" w:name="_Toc149720812"/>
      <w:r/>
      <w:bookmarkStart w:id="63" w:name="_Toc195842884"/>
      <w:r/>
      <w:bookmarkStart w:id="64" w:name="_Toc164351613"/>
      <w:r/>
      <w:bookmarkStart w:id="65" w:name="_Toc151190146"/>
      <w:r/>
      <w:bookmarkStart w:id="66" w:name="_Toc164229214"/>
      <w:r/>
      <w:bookmarkStart w:id="67" w:name="_Toc226965709"/>
      <w:r/>
      <w:bookmarkStart w:id="68" w:name="_Toc226965792"/>
      <w:r/>
      <w:bookmarkStart w:id="69" w:name="_Toc150774619"/>
      <w:r/>
      <w:bookmarkStart w:id="70" w:name="_Toc151193617"/>
      <w:r/>
      <w:bookmarkStart w:id="71" w:name="_Toc520356144"/>
      <w:r/>
      <w:bookmarkStart w:id="72" w:name="_Toc127151519"/>
      <w:r/>
      <w:bookmarkStart w:id="73" w:name="_Toc151193761"/>
      <w:r>
        <w:rPr>
          <w:rFonts w:hint="eastAsia" w:ascii="宋体" w:hAnsi="宋体" w:eastAsia="宋体" w:cs="宋体"/>
          <w:color w:val="000000"/>
          <w:sz w:val="28"/>
          <w:highlight w:val="none"/>
        </w:rPr>
        <w:t xml:space="preserve">投标人须知资料表</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p>
    <w:tbl>
      <w:tblPr>
        <w:tblStyle w:val="77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p>
          <w:p>
            <w:pPr>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p>
        </w:tc>
        <w:tc>
          <w:tcPr>
            <w:tcW w:w="7540" w:type="dxa"/>
            <w:vAlign w:val="center"/>
            <w:textDirection w:val="lrTb"/>
            <w:noWrap w:val="false"/>
          </w:tcPr>
          <w:p>
            <w:pPr>
              <w:pStyle w:val="1028"/>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□关于核心产品本项目__包不适用。</w:t>
            </w:r>
            <w:r/>
          </w:p>
          <w:p>
            <w:pPr>
              <w:pStyle w:val="1028"/>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□本项目__包为单一产品采购项目。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■本项目__包为非单一产品采购项目，核心产品为：</w:t>
            </w:r>
            <w:r>
              <w:rPr>
                <w:rFonts w:hint="eastAsia" w:ascii="宋体" w:hAnsi="宋体" w:eastAsia="宋体" w:cs="宋体"/>
                <w:color w:val="auto"/>
                <w:sz w:val="24"/>
                <w:highlight w:val="none"/>
              </w:rPr>
              <w:t xml:space="preserve">智能夹具综合实训平台</w:t>
            </w:r>
            <w:r/>
          </w:p>
        </w:tc>
      </w:tr>
      <w:tr>
        <w:trPr>
          <w:cantSplit/>
          <w:jc w:val="center"/>
          <w:trHeight w:val="20"/>
        </w:trPr>
        <w:tc>
          <w:tcPr>
            <w:tcW w:w="988" w:type="dxa"/>
            <w:vAlign w:val="center"/>
            <w:vMerge w:val="restart"/>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p>
          <w:p>
            <w:pPr>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分</w:t>
            </w:r>
            <w:r/>
          </w:p>
          <w:p>
            <w:pPr>
              <w:pStyle w:val="1028"/>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考察地点：</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lang w:bidi="ar"/>
              </w:rPr>
              <w:t xml:space="preserve">分</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p>
        </w:tc>
      </w:tr>
      <w:tr>
        <w:trPr>
          <w:jc w:val="center"/>
          <w:trHeight w:val="517"/>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工业</w:t>
            </w:r>
            <w:r>
              <w:rPr>
                <w:rFonts w:hint="eastAsia" w:ascii="宋体" w:hAnsi="宋体" w:eastAsia="宋体" w:cs="宋体"/>
                <w:b/>
                <w:color w:val="000000"/>
                <w:sz w:val="24"/>
                <w:highlight w:val="none"/>
              </w:rPr>
              <w:t xml:space="preserve">。</w:t>
            </w:r>
            <w:r/>
          </w:p>
        </w:tc>
      </w:tr>
      <w:tr>
        <w:trPr>
          <w:jc w:val="center"/>
          <w:trHeight w:val="841"/>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□有，具体情形：_____。</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免收</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w:t>
            </w:r>
            <w:r>
              <w:rPr>
                <w:rFonts w:hint="eastAsia" w:ascii="宋体" w:hAnsi="宋体" w:eastAsia="宋体" w:cs="宋体"/>
                <w:color w:val="000000"/>
                <w:sz w:val="24"/>
                <w:highlight w:val="none"/>
                <w:u w:val="single"/>
                <w:lang w:bidi="ar"/>
              </w:rPr>
              <w:t xml:space="preserve">/</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w:t>
            </w:r>
            <w:r>
              <w:rPr>
                <w:rFonts w:hint="eastAsia" w:ascii="宋体" w:hAnsi="宋体" w:eastAsia="宋体" w:cs="宋体"/>
                <w:color w:val="000000"/>
                <w:sz w:val="24"/>
                <w:highlight w:val="none"/>
                <w:u w:val="single"/>
                <w:lang w:bidi="ar"/>
              </w:rPr>
              <w:t xml:space="preserve">/</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（3）其他要求：</w:t>
            </w:r>
            <w:r>
              <w:rPr>
                <w:rFonts w:hint="eastAsia" w:ascii="宋体" w:hAnsi="宋体" w:eastAsia="宋体" w:cs="宋体"/>
                <w:color w:val="000000"/>
                <w:sz w:val="24"/>
                <w:highlight w:val="none"/>
                <w:u w:val="single"/>
                <w:lang w:bidi="ar"/>
              </w:rPr>
              <w:t xml:space="preserve">/</w:t>
            </w:r>
            <w:r>
              <w:rPr>
                <w:rFonts w:hint="eastAsia" w:ascii="宋体" w:hAnsi="宋体" w:eastAsia="宋体" w:cs="宋体"/>
                <w:color w:val="000000"/>
                <w:sz w:val="24"/>
                <w:highlight w:val="none"/>
              </w:rPr>
              <w:t xml:space="preserve">。</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询问送达形式：投标人对招标文件如有疑问，请将疑问于</w:t>
            </w:r>
            <w:r>
              <w:rPr>
                <w:rFonts w:hint="eastAsia" w:ascii="宋体" w:hAnsi="宋体" w:eastAsia="宋体" w:cs="宋体"/>
                <w:b/>
                <w:color w:val="000000"/>
                <w:sz w:val="24"/>
                <w:highlight w:val="none"/>
              </w:rPr>
              <w:t xml:space="preserve">2025年</w:t>
            </w:r>
            <w:r>
              <w:rPr>
                <w:rFonts w:hint="eastAsia" w:ascii="宋体" w:hAnsi="宋体" w:cs="宋体"/>
                <w:b/>
                <w:color w:val="000000"/>
                <w:sz w:val="24"/>
                <w:highlight w:val="none"/>
                <w:lang w:val="en-US" w:eastAsia="zh-CN"/>
              </w:rPr>
              <w:t xml:space="preserve">11</w:t>
            </w:r>
            <w:r>
              <w:rPr>
                <w:rFonts w:hint="eastAsia" w:ascii="宋体" w:hAnsi="宋体" w:eastAsia="宋体" w:cs="宋体"/>
                <w:b/>
                <w:color w:val="000000"/>
                <w:sz w:val="24"/>
                <w:highlight w:val="none"/>
              </w:rPr>
              <w:t xml:space="preserve">月</w:t>
            </w:r>
            <w:r>
              <w:rPr>
                <w:rFonts w:hint="eastAsia" w:ascii="宋体" w:hAnsi="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日11点00分</w:t>
            </w:r>
            <w:r>
              <w:rPr>
                <w:rFonts w:hint="eastAsia" w:ascii="宋体" w:hAnsi="宋体" w:eastAsia="宋体" w:cs="宋体"/>
                <w:color w:val="000000"/>
                <w:sz w:val="24"/>
                <w:highlight w:val="none"/>
              </w:rPr>
              <w:t xml:space="preserve">（北京时间）前以书面形式提交或传真至</w:t>
            </w:r>
            <w:r>
              <w:rPr>
                <w:rFonts w:hint="eastAsia" w:ascii="宋体" w:hAnsi="宋体" w:eastAsia="宋体" w:cs="宋体"/>
                <w:color w:val="000000"/>
                <w:sz w:val="24"/>
                <w:highlight w:val="none"/>
                <w:lang w:eastAsia="zh-CN"/>
              </w:rPr>
              <w:t xml:space="preserve">常州青果招投标有限公司</w:t>
            </w:r>
            <w:r>
              <w:rPr>
                <w:rFonts w:hint="eastAsia" w:ascii="宋体" w:hAnsi="宋体" w:eastAsia="宋体" w:cs="宋体"/>
                <w:color w:val="000000"/>
                <w:sz w:val="24"/>
                <w:highlight w:val="none"/>
              </w:rPr>
              <w:t xml:space="preserve">。邮箱：</w:t>
            </w:r>
            <w:r>
              <w:rPr>
                <w:rFonts w:hint="eastAsia" w:ascii="宋体" w:hAnsi="宋体" w:cs="宋体"/>
                <w:color w:val="000000"/>
                <w:sz w:val="24"/>
                <w:highlight w:val="none"/>
                <w:lang w:eastAsia="zh-CN"/>
              </w:rPr>
              <w:t xml:space="preserve">1505097927@qq.com</w:t>
            </w:r>
            <w:r>
              <w:rPr>
                <w:rFonts w:hint="eastAsia" w:ascii="宋体" w:hAnsi="宋体" w:eastAsia="宋体" w:cs="宋体"/>
                <w:color w:val="000000"/>
                <w:sz w:val="24"/>
                <w:highlight w:val="none"/>
              </w:rPr>
              <w:t xml:space="preserve">。</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p>
        </w:tc>
        <w:tc>
          <w:tcPr>
            <w:tcW w:w="7540" w:type="dxa"/>
            <w:vAlign w:val="center"/>
            <w:textDirection w:val="lrTb"/>
            <w:noWrap w:val="false"/>
          </w:tcPr>
          <w:p>
            <w:pPr>
              <w:ind w:firstLine="0"/>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p>
          <w:p>
            <w:pPr>
              <w:ind w:firstLine="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常州青果招投标有限公司</w:t>
            </w:r>
            <w:r/>
          </w:p>
          <w:p>
            <w:pPr>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常州市延陵西路53号（常州大酒店B座11层）</w:t>
            </w:r>
            <w:r/>
          </w:p>
          <w:p>
            <w:pPr>
              <w:ind w:firstLine="0"/>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张工 0519-68979906</w:t>
            </w:r>
            <w:r>
              <w:rPr>
                <w:rFonts w:hint="eastAsia" w:ascii="宋体" w:hAnsi="宋体" w:eastAsia="宋体" w:cs="宋体"/>
                <w:color w:val="000000"/>
                <w:sz w:val="24"/>
                <w:highlight w:val="none"/>
              </w:rPr>
              <w:t xml:space="preserve">。</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代理费</w:t>
            </w:r>
            <w:r/>
          </w:p>
        </w:tc>
        <w:tc>
          <w:tcPr>
            <w:tcW w:w="7540"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（一）收费对象：</w:t>
            </w:r>
            <w:r/>
          </w:p>
          <w:p>
            <w:pPr>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招标人</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w:t>
            </w:r>
            <w:r/>
          </w:p>
          <w:p>
            <w:pPr>
              <w:jc w:val="left"/>
              <w:spacing w:line="26" w:lineRule="atLeas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（二）收费标准：</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须按</w:t>
            </w:r>
            <w:r>
              <w:rPr>
                <w:rFonts w:hint="eastAsia" w:ascii="宋体" w:hAnsi="宋体" w:eastAsia="宋体" w:cs="宋体"/>
                <w:color w:val="000000"/>
                <w:sz w:val="24"/>
                <w:szCs w:val="24"/>
                <w:highlight w:val="none"/>
              </w:rPr>
              <w:t xml:space="preserve">发改价格[2011]534号文件</w:t>
            </w:r>
            <w:r>
              <w:rPr>
                <w:rFonts w:hint="eastAsia" w:ascii="宋体" w:hAnsi="宋体" w:eastAsia="宋体" w:cs="宋体"/>
                <w:color w:val="000000"/>
                <w:sz w:val="24"/>
                <w:highlight w:val="none"/>
              </w:rPr>
              <w:t xml:space="preserve">*10%计算并支付成交服务费以及相关费用之合计数缴纳项目服务费用。</w:t>
            </w:r>
            <w:r>
              <w:rPr>
                <w:rFonts w:hint="eastAsia" w:ascii="宋体" w:hAnsi="宋体" w:eastAsia="宋体" w:cs="宋体"/>
                <w:bCs/>
                <w:color w:val="000000"/>
                <w:sz w:val="24"/>
                <w:szCs w:val="24"/>
                <w:highlight w:val="none"/>
              </w:rPr>
              <w:t xml:space="preserve">服务收费按差额定率累进法计算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highlight w:val="none"/>
              </w:rPr>
              <w:t xml:space="preserve">其中服务费最低收费为人民币1500元，若按上述计算方式不足人民币1500元的，则按人民币1500元收取。</w:t>
            </w:r>
            <w:r/>
          </w:p>
          <w:tbl>
            <w:tblPr>
              <w:tblStyle w:val="777"/>
              <w:tblW w:w="6959"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7"/>
              <w:gridCol w:w="3552"/>
            </w:tblGrid>
            <w:tr>
              <w:trPr>
                <w:trHeight w:val="297"/>
              </w:trPr>
              <w:tc>
                <w:tcPr>
                  <w:tcW w:w="3407"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wp:posOffset>
                            </wp:positionH>
                            <wp:positionV relativeFrom="paragraph">
                              <wp:posOffset>38100</wp:posOffset>
                            </wp:positionV>
                            <wp:extent cx="2083435" cy="95631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0"/>
                                    <a:stretch/>
                                  </pic:blipFill>
                                  <pic:spPr bwMode="auto">
                                    <a:xfrm>
                                      <a:off x="0" y="0"/>
                                      <a:ext cx="2083435" cy="956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pt;mso-position-horizontal:absolute;mso-position-vertical-relative:text;margin-top:3.0pt;mso-position-vertical:absolute;width:164.0pt;height:75.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服务类型</w:t>
                  </w:r>
                  <w:r/>
                </w:p>
              </w:tc>
              <w:tc>
                <w:tcPr>
                  <w:tcW w:w="35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货物招标</w:t>
                  </w:r>
                  <w:r/>
                </w:p>
              </w:tc>
            </w:tr>
            <w:tr>
              <w:trPr>
                <w:trHeight w:val="297"/>
              </w:trPr>
              <w:tc>
                <w:tcPr>
                  <w:tcW w:w="3407" w:type="dxa"/>
                  <w:vAlign w:val="top"/>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55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97"/>
              </w:trPr>
              <w:tc>
                <w:tcPr>
                  <w:tcW w:w="3407" w:type="dxa"/>
                  <w:vAlign w:val="top"/>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55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97"/>
              </w:trPr>
              <w:tc>
                <w:tcPr>
                  <w:tcW w:w="3407"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费率</w:t>
                  </w:r>
                  <w:r/>
                </w:p>
              </w:tc>
              <w:tc>
                <w:tcPr>
                  <w:tcW w:w="355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11"/>
              </w:trPr>
              <w:tc>
                <w:tcPr>
                  <w:tcW w:w="3407"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w:t>
                  </w:r>
                  <w:r/>
                </w:p>
              </w:tc>
              <w:tc>
                <w:tcPr>
                  <w:tcW w:w="355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11"/>
              </w:trPr>
              <w:tc>
                <w:tcPr>
                  <w:tcW w:w="3407"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中标金额（万元）</w:t>
                  </w:r>
                  <w:r/>
                </w:p>
              </w:tc>
              <w:tc>
                <w:tcPr>
                  <w:tcW w:w="3552"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11"/>
              </w:trPr>
              <w:tc>
                <w:tcPr>
                  <w:tcW w:w="3407"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Style w:val="1245"/>
                      <w:rFonts w:ascii="宋体" w:hAnsi="宋体" w:eastAsia="宋体" w:cs="宋体"/>
                      <w:color w:val="000000"/>
                      <w:sz w:val="24"/>
                      <w:szCs w:val="24"/>
                      <w:highlight w:val="none"/>
                      <w:lang w:val="en-US" w:eastAsia="zh-CN" w:bidi="ar"/>
                    </w:rPr>
                    <w:t xml:space="preserve">以下</w:t>
                  </w:r>
                  <w:r/>
                </w:p>
              </w:tc>
              <w:tc>
                <w:tcPr>
                  <w:tcW w:w="3552"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r>
            <w:tr>
              <w:trPr>
                <w:trHeight w:val="311"/>
              </w:trPr>
              <w:tc>
                <w:tcPr>
                  <w:tcW w:w="3407"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100-500</w:t>
                  </w:r>
                  <w:r/>
                </w:p>
              </w:tc>
              <w:tc>
                <w:tcPr>
                  <w:tcW w:w="3552"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r>
            <w:tr>
              <w:trPr>
                <w:trHeight w:val="331"/>
              </w:trPr>
              <w:tc>
                <w:tcPr>
                  <w:tcW w:w="3407"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500-1000</w:t>
                  </w:r>
                  <w:r/>
                </w:p>
              </w:tc>
              <w:tc>
                <w:tcPr>
                  <w:tcW w:w="3552"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0.80%</w:t>
                  </w:r>
                  <w:r/>
                </w:p>
              </w:tc>
            </w:tr>
          </w:tbl>
          <w:p>
            <w:pPr>
              <w:ind w:firstLine="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b/>
                <w:color w:val="000000"/>
                <w:sz w:val="24"/>
                <w:highlight w:val="none"/>
              </w:rPr>
              <w:t xml:space="preserve">（3）缴纳时间：</w:t>
            </w:r>
            <w:r>
              <w:rPr>
                <w:rFonts w:hint="eastAsia" w:ascii="宋体" w:hAnsi="宋体" w:eastAsia="宋体" w:cs="宋体"/>
                <w:color w:val="000000"/>
                <w:sz w:val="24"/>
                <w:highlight w:val="none"/>
              </w:rPr>
              <w:t xml:space="preserve">中标人应在领取中标通知书时将代理费支付至</w:t>
            </w:r>
            <w:r>
              <w:rPr>
                <w:rFonts w:hint="eastAsia" w:ascii="宋体" w:hAnsi="宋体" w:eastAsia="宋体" w:cs="宋体"/>
                <w:color w:val="000000"/>
                <w:sz w:val="24"/>
                <w:highlight w:val="none"/>
                <w:lang w:eastAsia="zh-CN"/>
              </w:rPr>
              <w:t xml:space="preserve">常州青果招投标有限公司</w:t>
            </w:r>
            <w:r>
              <w:rPr>
                <w:rFonts w:hint="eastAsia" w:ascii="宋体" w:hAnsi="宋体" w:eastAsia="宋体" w:cs="宋体"/>
                <w:color w:val="000000"/>
                <w:sz w:val="24"/>
                <w:highlight w:val="none"/>
              </w:rPr>
              <w:t xml:space="preserve">账户。</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户名：常州青果招投标有限公司</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开户银行：中国银行股份有限公司常州天宁支行</w:t>
            </w:r>
            <w:r/>
          </w:p>
          <w:p>
            <w:pPr>
              <w:ind w:firstLine="47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账号：554746319228</w:t>
            </w:r>
            <w:r/>
          </w:p>
        </w:tc>
      </w:tr>
      <w:tr>
        <w:trPr>
          <w:jc w:val="center"/>
          <w:trHeight w:val="20"/>
        </w:trPr>
        <w:tc>
          <w:tcPr>
            <w:tcW w:w="988" w:type="dxa"/>
            <w:vAlign w:val="center"/>
            <w:textDirection w:val="lrTb"/>
            <w:noWrap w:val="false"/>
          </w:tcPr>
          <w:p>
            <w:pPr>
              <w:pStyle w:val="1028"/>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26</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纸质中标（成交）文件</w:t>
            </w:r>
            <w:r/>
          </w:p>
        </w:tc>
        <w:tc>
          <w:tcPr>
            <w:tcW w:w="7540" w:type="dxa"/>
            <w:vAlign w:val="center"/>
            <w:textDirection w:val="lrTb"/>
            <w:noWrap w:val="false"/>
          </w:tcPr>
          <w:p>
            <w:pPr>
              <w:ind w:firstLine="473"/>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中标人在签订合同前需递交与电子响应文件内容一致的纸质响应文件叁份（需打印清晰，标注目录及页码），作为项目归档使用。（递交方式可采用邮寄或现场送达至</w:t>
            </w:r>
            <w:r>
              <w:rPr>
                <w:rFonts w:hint="eastAsia" w:ascii="宋体" w:hAnsi="宋体" w:eastAsia="宋体" w:cs="宋体"/>
                <w:color w:val="000000"/>
                <w:sz w:val="24"/>
                <w:highlight w:val="none"/>
                <w:lang w:eastAsia="zh-CN"/>
              </w:rPr>
              <w:t xml:space="preserve">常州青果招投标有限公司</w:t>
            </w:r>
            <w:r>
              <w:rPr>
                <w:rFonts w:hint="eastAsia" w:ascii="宋体" w:hAnsi="宋体" w:eastAsia="宋体" w:cs="宋体"/>
                <w:color w:val="000000"/>
                <w:sz w:val="24"/>
                <w:highlight w:val="none"/>
              </w:rPr>
              <w:t xml:space="preserve">，联系方式见《第一章 投标邀请》）</w:t>
            </w:r>
            <w:r/>
          </w:p>
        </w:tc>
      </w:tr>
    </w:tbl>
    <w:p>
      <w:pPr>
        <w:jc w:val="center"/>
        <w:spacing w:before="240" w:after="240"/>
        <w:rPr>
          <w:rFonts w:hint="eastAsia" w:ascii="宋体" w:hAnsi="宋体" w:eastAsia="宋体" w:cs="宋体"/>
          <w:b/>
          <w:color w:val="000000"/>
          <w:sz w:val="28"/>
          <w:szCs w:val="28"/>
          <w:highlight w:val="none"/>
        </w:rPr>
      </w:pPr>
      <w:r/>
      <w:bookmarkStart w:id="74" w:name="_Toc127151517"/>
      <w:r/>
      <w:bookmarkStart w:id="75" w:name="_Toc353873932"/>
      <w:r/>
      <w:bookmarkStart w:id="76" w:name="_Toc195842882"/>
      <w:r/>
      <w:bookmarkStart w:id="77" w:name="_Toc142311019"/>
      <w:r/>
      <w:bookmarkStart w:id="78" w:name="_Toc353825542"/>
      <w:r/>
      <w:bookmarkStart w:id="79" w:name="_Toc226965790"/>
      <w:r/>
      <w:bookmarkStart w:id="80" w:name="_Toc305158785"/>
      <w:r/>
      <w:bookmarkStart w:id="81" w:name="_Toc265228355"/>
      <w:r/>
      <w:bookmarkStart w:id="82" w:name="_Toc305158859"/>
      <w:r/>
      <w:bookmarkStart w:id="83" w:name="_Toc150774722"/>
      <w:r/>
      <w:bookmarkStart w:id="84" w:name="_Toc226337213"/>
      <w:r/>
      <w:bookmarkStart w:id="85" w:name="_Toc264969207"/>
      <w:r/>
      <w:bookmarkStart w:id="86" w:name="_Toc353873662"/>
      <w:r/>
      <w:bookmarkStart w:id="87" w:name="_Toc150480755"/>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99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8" w:name="_Toc127151518"/>
      <w:r/>
      <w:bookmarkStart w:id="89" w:name="_Toc520356143"/>
      <w:r>
        <w:rPr>
          <w:rFonts w:hint="eastAsia" w:ascii="宋体" w:hAnsi="宋体" w:eastAsia="宋体" w:cs="宋体"/>
          <w:color w:val="000000"/>
          <w:sz w:val="28"/>
          <w:highlight w:val="none"/>
        </w:rPr>
        <w:tab/>
      </w:r>
      <w:bookmarkStart w:id="90" w:name="_Toc151193760"/>
      <w:r/>
      <w:bookmarkStart w:id="91" w:name="_Toc151190145"/>
      <w:r/>
      <w:bookmarkStart w:id="92" w:name="_Toc226965708"/>
      <w:r/>
      <w:bookmarkStart w:id="93" w:name="_Toc151193688"/>
      <w:r/>
      <w:bookmarkStart w:id="94" w:name="_Toc265228356"/>
      <w:r/>
      <w:bookmarkStart w:id="95" w:name="_Toc151193832"/>
      <w:r/>
      <w:bookmarkStart w:id="96" w:name="_Toc142311020"/>
      <w:r/>
      <w:bookmarkStart w:id="97" w:name="_Toc305158786"/>
      <w:r/>
      <w:bookmarkStart w:id="98" w:name="_Toc150774723"/>
      <w:r/>
      <w:bookmarkStart w:id="99" w:name="_Toc264969208"/>
      <w:r/>
      <w:bookmarkStart w:id="100" w:name="_Toc150774618"/>
      <w:r/>
      <w:bookmarkStart w:id="101" w:name="_Toc195842883"/>
      <w:r/>
      <w:bookmarkStart w:id="102" w:name="_Toc150509269"/>
      <w:r/>
      <w:bookmarkStart w:id="103" w:name="_Toc226337214"/>
      <w:r/>
      <w:bookmarkStart w:id="104" w:name="_Toc151193906"/>
      <w:r/>
      <w:bookmarkStart w:id="105" w:name="_Toc226965791"/>
      <w:r/>
      <w:bookmarkStart w:id="106" w:name="_Toc151193616"/>
      <w:r/>
      <w:bookmarkStart w:id="107" w:name="_Toc226309762"/>
      <w:r/>
      <w:bookmarkStart w:id="108" w:name="_Toc305158860"/>
      <w:r/>
      <w:bookmarkStart w:id="109" w:name="_Toc150480756"/>
      <w:r>
        <w:rPr>
          <w:rFonts w:hint="eastAsia" w:ascii="宋体" w:hAnsi="宋体" w:eastAsia="宋体" w:cs="宋体"/>
          <w:color w:val="000000"/>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color w:val="000000"/>
          <w:sz w:val="28"/>
          <w:highlight w:val="none"/>
        </w:rPr>
        <w:tab/>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110" w:name="_Toc265228357"/>
      <w:r/>
      <w:bookmarkStart w:id="111" w:name="_Toc305158787"/>
      <w:r/>
      <w:bookmarkStart w:id="112" w:name="_Toc264969209"/>
      <w:r/>
      <w:bookmarkStart w:id="113" w:name="_Toc305158861"/>
      <w:r>
        <w:rPr>
          <w:rFonts w:hint="eastAsia" w:ascii="宋体" w:hAnsi="宋体" w:eastAsia="宋体" w:cs="宋体"/>
          <w:b/>
          <w:color w:val="000000"/>
          <w:sz w:val="24"/>
          <w:highlight w:val="none"/>
          <w:lang w:eastAsia="zh-CN"/>
        </w:rPr>
        <w:t xml:space="preserve">招标人</w:t>
      </w:r>
      <w:r>
        <w:rPr>
          <w:rFonts w:hint="eastAsia" w:ascii="宋体" w:hAnsi="宋体" w:eastAsia="宋体" w:cs="宋体"/>
          <w:b/>
          <w:color w:val="000000"/>
          <w:sz w:val="24"/>
          <w:highlight w:val="none"/>
        </w:rPr>
        <w:t xml:space="preserve">、采购代理机构、投标人</w:t>
      </w:r>
      <w:bookmarkEnd w:id="110"/>
      <w:r/>
      <w:bookmarkEnd w:id="111"/>
      <w:r/>
      <w:bookmarkEnd w:id="112"/>
      <w:r/>
      <w:bookmarkEnd w:id="113"/>
      <w:r>
        <w:rPr>
          <w:rFonts w:hint="eastAsia" w:ascii="宋体" w:hAnsi="宋体" w:eastAsia="宋体" w:cs="宋体"/>
          <w:b/>
          <w:color w:val="000000"/>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、采购代理机构：指依法进行政府采购的国家机关、事业单位、团体组织，及其委托的采购代理机构。本项目</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投标人（也称“</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”、“申请人”）：指向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联合体：指两个以上的自然人、法人或者其他组织组成一个联合体，以一个</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的身份共同参加政府采购。</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114" w:name="_Toc264969210"/>
      <w:r/>
      <w:bookmarkStart w:id="115" w:name="_Toc151193690"/>
      <w:r/>
      <w:bookmarkStart w:id="116" w:name="_Toc151193762"/>
      <w:r/>
      <w:bookmarkStart w:id="117" w:name="_Toc305158788"/>
      <w:r/>
      <w:bookmarkStart w:id="118" w:name="_Toc127151721"/>
      <w:r/>
      <w:bookmarkStart w:id="119" w:name="_Toc150774725"/>
      <w:r/>
      <w:bookmarkStart w:id="120" w:name="_Toc226965710"/>
      <w:r/>
      <w:bookmarkStart w:id="121" w:name="_Toc151193618"/>
      <w:r/>
      <w:bookmarkStart w:id="122" w:name="_Toc142311022"/>
      <w:r/>
      <w:bookmarkStart w:id="123" w:name="_Toc164351614"/>
      <w:r/>
      <w:bookmarkStart w:id="124" w:name="_Toc127151520"/>
      <w:r/>
      <w:bookmarkStart w:id="125" w:name="_Toc226337216"/>
      <w:r/>
      <w:bookmarkStart w:id="126" w:name="_Toc149720813"/>
      <w:r/>
      <w:bookmarkStart w:id="127" w:name="_Toc150774620"/>
      <w:r/>
      <w:bookmarkStart w:id="128" w:name="_Toc150509271"/>
      <w:r/>
      <w:bookmarkStart w:id="129" w:name="_Toc164229215"/>
      <w:r/>
      <w:bookmarkStart w:id="130" w:name="_Toc164608789"/>
      <w:r/>
      <w:bookmarkStart w:id="131" w:name="_Toc265228358"/>
      <w:r/>
      <w:bookmarkStart w:id="132" w:name="_Toc164229361"/>
      <w:r/>
      <w:bookmarkStart w:id="133" w:name="_Toc305158862"/>
      <w:r/>
      <w:bookmarkStart w:id="134" w:name="_Toc195842885"/>
      <w:r/>
      <w:bookmarkStart w:id="135" w:name="_Toc127161434"/>
      <w:r/>
      <w:bookmarkStart w:id="136" w:name="_Toc164608634"/>
      <w:r/>
      <w:bookmarkStart w:id="137" w:name="_Toc226309764"/>
      <w:r/>
      <w:bookmarkStart w:id="138" w:name="_Toc150480758"/>
      <w:r/>
      <w:bookmarkStart w:id="139" w:name="_Toc226965793"/>
      <w:r/>
      <w:bookmarkStart w:id="140" w:name="_Toc151193908"/>
      <w:r/>
      <w:bookmarkStart w:id="141" w:name="_Toc151190147"/>
      <w:r/>
      <w:bookmarkStart w:id="142" w:name="_Toc151193834"/>
      <w:r>
        <w:rPr>
          <w:rFonts w:hint="eastAsia" w:ascii="宋体" w:hAnsi="宋体" w:eastAsia="宋体" w:cs="宋体"/>
          <w:b/>
          <w:color w:val="000000"/>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eastAsia="宋体" w:cs="宋体"/>
          <w:b/>
          <w:color w:val="000000"/>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核心产品见《投标人须知资料表》。</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8"/>
          <w:highlight w:val="none"/>
        </w:rPr>
      </w:pPr>
      <w:r>
        <w:rPr>
          <w:rFonts w:hint="eastAsia" w:ascii="宋体" w:hAnsi="宋体" w:eastAsia="宋体" w:cs="宋体"/>
          <w:color w:val="000000"/>
          <w:sz w:val="24"/>
          <w:highlight w:val="none"/>
        </w:rPr>
        <w:t xml:space="preserve">若《投标人须知资料表》中规定了组织现场考察、召开开标前答疑会，则投标人应按要求在规定的时间和地点参加。</w:t>
      </w:r>
      <w:bookmarkStart w:id="143" w:name="_Toc305158864"/>
      <w:r/>
      <w:bookmarkStart w:id="144" w:name="_Toc151190149"/>
      <w:r/>
      <w:bookmarkStart w:id="145" w:name="_Toc127151522"/>
      <w:r/>
      <w:bookmarkStart w:id="146" w:name="_Toc151193620"/>
      <w:r/>
      <w:bookmarkStart w:id="147" w:name="_Toc151193836"/>
      <w:r/>
      <w:bookmarkStart w:id="148" w:name="_Toc150509273"/>
      <w:r/>
      <w:bookmarkStart w:id="149" w:name="_Toc150774622"/>
      <w:r/>
      <w:bookmarkStart w:id="150" w:name="_Toc150774727"/>
      <w:r/>
      <w:bookmarkStart w:id="151" w:name="_Toc151193692"/>
      <w:r/>
      <w:bookmarkStart w:id="152" w:name="_Toc150480760"/>
      <w:r/>
      <w:bookmarkStart w:id="153" w:name="_Toc195842887"/>
      <w:r/>
      <w:bookmarkStart w:id="154" w:name="_Toc226337218"/>
      <w:r/>
      <w:bookmarkStart w:id="155" w:name="_Toc520356146"/>
      <w:r/>
      <w:bookmarkStart w:id="156" w:name="_Toc226309766"/>
      <w:r/>
      <w:bookmarkStart w:id="157" w:name="_Toc142311024"/>
      <w:r/>
      <w:bookmarkStart w:id="158" w:name="_Toc305158790"/>
      <w:r/>
      <w:bookmarkStart w:id="159" w:name="_Toc226965795"/>
      <w:r/>
      <w:bookmarkStart w:id="160" w:name="_Toc226965712"/>
      <w:r/>
      <w:bookmarkStart w:id="161" w:name="_Toc264969212"/>
      <w:r/>
      <w:bookmarkStart w:id="162" w:name="_Toc265228360"/>
      <w:r/>
      <w:bookmarkStart w:id="163" w:name="_Toc151193764"/>
      <w:r/>
      <w:bookmarkStart w:id="164" w:name="_Toc151193910"/>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b/>
          <w:color w:val="000000"/>
          <w:sz w:val="24"/>
          <w:highlight w:val="none"/>
        </w:rPr>
        <w:t xml:space="preserve">政府采购政策</w:t>
      </w:r>
      <w:r>
        <w:rPr>
          <w:rFonts w:hint="eastAsia" w:ascii="宋体" w:hAnsi="宋体" w:eastAsia="宋体" w:cs="宋体"/>
          <w:color w:val="000000"/>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中小企业定义：</w:t>
      </w:r>
      <w:r/>
    </w:p>
    <w:p>
      <w:pPr>
        <w:pStyle w:val="1083"/>
        <w:numPr>
          <w:ilvl w:val="0"/>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0"/>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0"/>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0"/>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0"/>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1"/>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1"/>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2"/>
          <w:numId w:val="9"/>
        </w:numPr>
        <w:ind w:left="0" w:firstLine="480"/>
        <w:spacing w:line="360" w:lineRule="auto"/>
        <w:tabs>
          <w:tab w:val="left" w:pos="1276"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提供的货物既有中小企业制造货物，也有大型企业制造货物的，不享受中小企业扶持政策。</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残疾人福利单位定义：享受政府采购支持政策的残疾人福利性单位应当同时满足以下条件：</w:t>
      </w:r>
      <w:r/>
    </w:p>
    <w:p>
      <w:pPr>
        <w:pStyle w:val="1083"/>
        <w:numPr>
          <w:ilvl w:val="2"/>
          <w:numId w:val="9"/>
        </w:numPr>
        <w:ind w:left="0" w:firstLine="480"/>
        <w:spacing w:line="360" w:lineRule="auto"/>
        <w:tabs>
          <w:tab w:val="left" w:pos="1276" w:leader="none"/>
          <w:tab w:val="left" w:pos="1560"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1083"/>
        <w:numPr>
          <w:ilvl w:val="2"/>
          <w:numId w:val="9"/>
        </w:numPr>
        <w:ind w:left="0" w:firstLine="480"/>
        <w:spacing w:line="360" w:lineRule="auto"/>
        <w:tabs>
          <w:tab w:val="left" w:pos="1276" w:leader="none"/>
          <w:tab w:val="left" w:pos="1560"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left" w:pos="1276" w:leader="none"/>
          <w:tab w:val="left" w:pos="1560"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拟采购的产品属于品目清单范围的，</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依据《关于印发〈商品包装政府采购需求标准（试行）〉、〈快递包装政府采购需求标准（试行）〉的通知》（财办库〔2020〕123号）文件精神，</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中明确政府采购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提供产品及相关快递服务的具体包装要求的，在政府采购合同中载明对政府采购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提供产品及相关快递服务的具体包装要求和履约验收相关条款的，中标成交</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所投产品属于《关于调整信息安全产品强制性认证实施要求的公告》（2009 年第33 号）范围的，采购经国家认证的信息安全产品，否则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要将创新要求嵌入采购项目需求，可在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绿色数据中心政策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依据《绿色数据中心政府采购需求标准（试行）》（财办库〔2023〕7 号）文件精神，</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应当加强采购需求管理，根据《需求标准》提出的指标编制数据中心相关设备、运维服务政府采购项目的</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，并在合同中明确对相关指标的验收方式和违约责任。</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应当在履约验收中对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在验收阶段提供相关检测报告、认证报告。</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推广应用绿色建材</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和采购合同中载明具体需求、履约验收条款和违约责任。</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优先使用低挥发性有机化合物产品</w:t>
      </w:r>
      <w:r/>
    </w:p>
    <w:p>
      <w:pPr>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中载明低VOCs的优惠幅度、评审标准等，以体现优先采购。</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投标人应自行承担所有与准备和参加投标有关的费用，无论投标的结果如何，</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或采购代理机构在任何情况下均无承担这些费用的义务和责任。</w:t>
      </w:r>
      <w:r/>
    </w:p>
    <w:p>
      <w:pPr>
        <w:ind w:firstLine="560"/>
        <w:spacing w:line="360" w:lineRule="auto"/>
        <w:tabs>
          <w:tab w:val="left" w:pos="1080" w:leader="none"/>
        </w:tabs>
        <w:rPr>
          <w:rFonts w:hint="eastAsia" w:ascii="宋体" w:hAnsi="宋体" w:eastAsia="宋体" w:cs="宋体"/>
          <w:color w:val="000000"/>
          <w:sz w:val="28"/>
          <w:highlight w:val="none"/>
        </w:rPr>
      </w:pPr>
      <w:r/>
      <w:bookmarkStart w:id="165" w:name="_1.8_计量单位"/>
      <w:r/>
      <w:bookmarkEnd w:id="165"/>
      <w:r/>
      <w:r/>
    </w:p>
    <w:p>
      <w:pPr>
        <w:pStyle w:val="99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166" w:name="_Toc142311025"/>
      <w:r/>
      <w:bookmarkStart w:id="167" w:name="_Toc305158791"/>
      <w:r/>
      <w:bookmarkStart w:id="168" w:name="_Toc151190150"/>
      <w:r/>
      <w:bookmarkStart w:id="169" w:name="_Toc151193693"/>
      <w:r/>
      <w:bookmarkStart w:id="170" w:name="_Toc195842888"/>
      <w:r/>
      <w:bookmarkStart w:id="171" w:name="_Toc127151523"/>
      <w:r/>
      <w:bookmarkStart w:id="172" w:name="_Toc150774623"/>
      <w:r/>
      <w:bookmarkStart w:id="173" w:name="_Toc150774728"/>
      <w:r/>
      <w:bookmarkStart w:id="174" w:name="_Toc127161437"/>
      <w:r/>
      <w:bookmarkStart w:id="175" w:name="_Toc150480761"/>
      <w:r/>
      <w:bookmarkStart w:id="176" w:name="_Toc226965713"/>
      <w:r/>
      <w:bookmarkStart w:id="177" w:name="_Toc151193911"/>
      <w:r/>
      <w:bookmarkStart w:id="178" w:name="_Toc264969213"/>
      <w:r/>
      <w:bookmarkStart w:id="179" w:name="_Toc305158865"/>
      <w:r/>
      <w:bookmarkStart w:id="180" w:name="_Toc226965796"/>
      <w:r/>
      <w:bookmarkStart w:id="181" w:name="_Toc226309767"/>
      <w:r/>
      <w:bookmarkStart w:id="182" w:name="_Toc151193837"/>
      <w:r/>
      <w:bookmarkStart w:id="183" w:name="_Toc164351617"/>
      <w:r/>
      <w:bookmarkStart w:id="184" w:name="_Toc265228361"/>
      <w:r/>
      <w:bookmarkStart w:id="185" w:name="_Toc127151724"/>
      <w:r/>
      <w:bookmarkStart w:id="186" w:name="_Toc149720816"/>
      <w:r/>
      <w:bookmarkStart w:id="187" w:name="_Toc164608792"/>
      <w:r/>
      <w:bookmarkStart w:id="188" w:name="_Toc151193621"/>
      <w:r/>
      <w:bookmarkStart w:id="189" w:name="_Toc226337219"/>
      <w:r/>
      <w:bookmarkStart w:id="190" w:name="_Toc520356147"/>
      <w:r/>
      <w:bookmarkStart w:id="191" w:name="_Toc151193765"/>
      <w:r/>
      <w:bookmarkStart w:id="192" w:name="_Toc150509274"/>
      <w:r/>
      <w:bookmarkStart w:id="193" w:name="_Toc164229218"/>
      <w:r/>
      <w:bookmarkStart w:id="194" w:name="_Toc164229364"/>
      <w:r/>
      <w:bookmarkStart w:id="195" w:name="_Toc164608637"/>
      <w:r>
        <w:rPr>
          <w:rFonts w:hint="eastAsia" w:ascii="宋体" w:hAnsi="宋体" w:eastAsia="宋体" w:cs="宋体"/>
          <w:b/>
          <w:color w:val="000000"/>
          <w:sz w:val="24"/>
          <w:highlight w:val="none"/>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eastAsia="宋体" w:cs="宋体"/>
          <w:b/>
          <w:color w:val="000000"/>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92"/>
        <w:ind w:firstLine="562"/>
        <w:spacing w:before="0" w:line="360" w:lineRule="auto"/>
        <w:rPr>
          <w:rFonts w:hint="eastAsia" w:ascii="宋体" w:hAnsi="宋体" w:eastAsia="宋体" w:cs="宋体"/>
          <w:color w:val="000000"/>
          <w:sz w:val="28"/>
          <w:highlight w:val="none"/>
        </w:rPr>
      </w:pPr>
      <w:r/>
      <w:bookmarkStart w:id="196" w:name="_Toc516367020"/>
      <w:r/>
      <w:bookmarkStart w:id="197" w:name="_Toc151193624"/>
      <w:r/>
      <w:bookmarkStart w:id="198" w:name="_Toc127151526"/>
      <w:r/>
      <w:bookmarkStart w:id="199" w:name="_Toc265228364"/>
      <w:r/>
      <w:bookmarkStart w:id="200" w:name="_Toc226337222"/>
      <w:r/>
      <w:bookmarkStart w:id="201" w:name="_Toc226965799"/>
      <w:r/>
      <w:bookmarkStart w:id="202" w:name="_Toc305158868"/>
      <w:r/>
      <w:bookmarkStart w:id="203" w:name="_Toc151193840"/>
      <w:r/>
      <w:bookmarkStart w:id="204" w:name="_Toc150480764"/>
      <w:r/>
      <w:bookmarkStart w:id="205" w:name="_Toc264969216"/>
      <w:r/>
      <w:bookmarkStart w:id="206" w:name="_Toc150774626"/>
      <w:r/>
      <w:bookmarkStart w:id="207" w:name="_Toc226965716"/>
      <w:r/>
      <w:bookmarkStart w:id="208" w:name="_Toc226309770"/>
      <w:r/>
      <w:bookmarkStart w:id="209" w:name="_Toc142311028"/>
      <w:r/>
      <w:bookmarkStart w:id="210" w:name="_Toc151193914"/>
      <w:r/>
      <w:bookmarkStart w:id="211" w:name="_Toc150774731"/>
      <w:r/>
      <w:bookmarkStart w:id="212" w:name="_Toc151193768"/>
      <w:r/>
      <w:bookmarkStart w:id="213" w:name="_Toc151190153"/>
      <w:r/>
      <w:bookmarkStart w:id="214" w:name="_Toc520356150"/>
      <w:r/>
      <w:bookmarkStart w:id="215" w:name="_Toc305158794"/>
      <w:r/>
      <w:bookmarkStart w:id="216" w:name="_Toc195842891"/>
      <w:r/>
      <w:bookmarkStart w:id="217" w:name="_Toc151193696"/>
      <w:r/>
      <w:bookmarkStart w:id="218" w:name="_Toc150509277"/>
      <w:r>
        <w:rPr>
          <w:rFonts w:hint="eastAsia" w:ascii="宋体" w:hAnsi="宋体" w:eastAsia="宋体" w:cs="宋体"/>
          <w:color w:val="000000"/>
          <w:sz w:val="28"/>
          <w:highlight w:val="none"/>
        </w:rPr>
        <w:t xml:space="preserve">三   投标文件</w:t>
      </w:r>
      <w:bookmarkEnd w:id="196"/>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219" w:name="_Toc150774627"/>
      <w:r/>
      <w:bookmarkStart w:id="220" w:name="_Toc226965800"/>
      <w:r/>
      <w:bookmarkStart w:id="221" w:name="_Toc305158795"/>
      <w:r/>
      <w:bookmarkStart w:id="222" w:name="_Toc164229368"/>
      <w:r/>
      <w:bookmarkStart w:id="223" w:name="_Toc151193769"/>
      <w:r/>
      <w:bookmarkStart w:id="224" w:name="_Toc164608641"/>
      <w:r/>
      <w:bookmarkStart w:id="225" w:name="_Toc226309771"/>
      <w:r/>
      <w:bookmarkStart w:id="226" w:name="_Toc150774732"/>
      <w:r/>
      <w:bookmarkStart w:id="227" w:name="_Toc151190154"/>
      <w:r/>
      <w:bookmarkStart w:id="228" w:name="_Toc164608796"/>
      <w:r/>
      <w:bookmarkStart w:id="229" w:name="_Toc305158869"/>
      <w:r/>
      <w:bookmarkStart w:id="230" w:name="_Toc151193625"/>
      <w:r/>
      <w:bookmarkStart w:id="231" w:name="_Toc149720820"/>
      <w:r/>
      <w:bookmarkStart w:id="232" w:name="_Toc127151728"/>
      <w:r/>
      <w:bookmarkStart w:id="233" w:name="_Toc150480765"/>
      <w:r/>
      <w:bookmarkStart w:id="234" w:name="_Toc516367021"/>
      <w:r/>
      <w:bookmarkStart w:id="235" w:name="_Toc164229222"/>
      <w:r/>
      <w:bookmarkStart w:id="236" w:name="_Toc264969217"/>
      <w:r/>
      <w:bookmarkStart w:id="237" w:name="_Toc226337223"/>
      <w:r/>
      <w:bookmarkStart w:id="238" w:name="_Toc127151527"/>
      <w:r/>
      <w:bookmarkStart w:id="239" w:name="_Toc151193697"/>
      <w:r/>
      <w:bookmarkStart w:id="240" w:name="_Toc127161441"/>
      <w:r/>
      <w:bookmarkStart w:id="241" w:name="_Toc195842892"/>
      <w:r/>
      <w:bookmarkStart w:id="242" w:name="_Toc151193841"/>
      <w:r/>
      <w:bookmarkStart w:id="243" w:name="_Toc164351621"/>
      <w:r/>
      <w:bookmarkStart w:id="244" w:name="_Toc226965717"/>
      <w:r/>
      <w:bookmarkStart w:id="245" w:name="_Toc520356151"/>
      <w:r/>
      <w:bookmarkStart w:id="246" w:name="_Toc151193915"/>
      <w:r/>
      <w:bookmarkStart w:id="247" w:name="_Toc265228365"/>
      <w:r/>
      <w:bookmarkStart w:id="248" w:name="_Toc150509278"/>
      <w:r/>
      <w:bookmarkStart w:id="249" w:name="_Toc142311029"/>
      <w:r>
        <w:rPr>
          <w:rFonts w:hint="eastAsia" w:ascii="宋体" w:hAnsi="宋体" w:eastAsia="宋体" w:cs="宋体"/>
          <w:b/>
          <w:color w:val="000000"/>
          <w:sz w:val="24"/>
          <w:highlight w:val="none"/>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eastAsia="宋体" w:cs="宋体"/>
          <w:b/>
          <w:color w:val="000000"/>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250" w:name="_Toc516367022"/>
      <w:r/>
      <w:bookmarkStart w:id="251" w:name="_Ref467306195"/>
      <w:r/>
      <w:bookmarkStart w:id="252" w:name="_Ref467306676"/>
      <w:r/>
      <w:bookmarkStart w:id="253" w:name="_Toc264969218"/>
      <w:r/>
      <w:bookmarkStart w:id="254" w:name="_Toc226965718"/>
      <w:r/>
      <w:bookmarkStart w:id="255" w:name="_Toc195842893"/>
      <w:r/>
      <w:bookmarkStart w:id="256" w:name="_Toc149720821"/>
      <w:r/>
      <w:bookmarkStart w:id="257" w:name="_Toc520356152"/>
      <w:r/>
      <w:bookmarkStart w:id="258" w:name="_Toc127161442"/>
      <w:r/>
      <w:bookmarkStart w:id="259" w:name="_Toc226309772"/>
      <w:r/>
      <w:bookmarkStart w:id="260" w:name="_Toc150774628"/>
      <w:r/>
      <w:bookmarkStart w:id="261" w:name="_Toc151193626"/>
      <w:r/>
      <w:bookmarkStart w:id="262" w:name="_Toc226337224"/>
      <w:r/>
      <w:bookmarkStart w:id="263" w:name="_Toc151193842"/>
      <w:r/>
      <w:bookmarkStart w:id="264" w:name="_Toc127151729"/>
      <w:r/>
      <w:bookmarkStart w:id="265" w:name="_Toc265228366"/>
      <w:r/>
      <w:bookmarkStart w:id="266" w:name="_Toc226965801"/>
      <w:r/>
      <w:bookmarkStart w:id="267" w:name="_Toc150480766"/>
      <w:r/>
      <w:bookmarkStart w:id="268" w:name="_Toc164229369"/>
      <w:r/>
      <w:bookmarkStart w:id="269" w:name="_Toc151190155"/>
      <w:r/>
      <w:bookmarkStart w:id="270" w:name="_Toc150774733"/>
      <w:r/>
      <w:bookmarkStart w:id="271" w:name="_Toc164351622"/>
      <w:r/>
      <w:bookmarkStart w:id="272" w:name="_Toc164608642"/>
      <w:r/>
      <w:bookmarkStart w:id="273" w:name="_Toc127151528"/>
      <w:r/>
      <w:bookmarkStart w:id="274" w:name="_Toc150509279"/>
      <w:r/>
      <w:bookmarkStart w:id="275" w:name="_Toc305158796"/>
      <w:r/>
      <w:bookmarkStart w:id="276" w:name="_Toc151193770"/>
      <w:r/>
      <w:bookmarkStart w:id="277" w:name="_Toc305158870"/>
      <w:r/>
      <w:bookmarkStart w:id="278" w:name="_Toc142311030"/>
      <w:r/>
      <w:bookmarkStart w:id="279" w:name="_Toc164229223"/>
      <w:r/>
      <w:bookmarkStart w:id="280" w:name="_Toc151193698"/>
      <w:r/>
      <w:bookmarkStart w:id="281" w:name="_Toc151193916"/>
      <w:r/>
      <w:bookmarkStart w:id="282" w:name="_Toc164608797"/>
      <w:r>
        <w:rPr>
          <w:rFonts w:hint="eastAsia" w:ascii="宋体" w:hAnsi="宋体" w:eastAsia="宋体" w:cs="宋体"/>
          <w:b/>
          <w:color w:val="000000"/>
          <w:sz w:val="24"/>
          <w:highlight w:val="none"/>
        </w:rPr>
        <w:t xml:space="preserve">投标文件</w:t>
      </w:r>
      <w:bookmarkEnd w:id="250"/>
      <w:r/>
      <w:bookmarkEnd w:id="251"/>
      <w:r/>
      <w:bookmarkEnd w:id="252"/>
      <w:r>
        <w:rPr>
          <w:rFonts w:hint="eastAsia" w:ascii="宋体" w:hAnsi="宋体" w:eastAsia="宋体" w:cs="宋体"/>
          <w:b/>
          <w:color w:val="000000"/>
          <w:sz w:val="24"/>
          <w:highlight w:val="none"/>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bookmarkStart w:id="283"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投标人认为应附的其他材料。</w:t>
      </w:r>
      <w:bookmarkEnd w:id="283"/>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284" w:name="_Toc127151530"/>
      <w:r/>
      <w:bookmarkStart w:id="285" w:name="_Toc164351624"/>
      <w:r/>
      <w:bookmarkStart w:id="286" w:name="_Toc150774630"/>
      <w:r/>
      <w:bookmarkStart w:id="287" w:name="_Toc164608644"/>
      <w:r/>
      <w:bookmarkStart w:id="288" w:name="_Toc195842895"/>
      <w:r/>
      <w:bookmarkStart w:id="289" w:name="_Toc151190157"/>
      <w:r/>
      <w:bookmarkStart w:id="290" w:name="_Toc149720823"/>
      <w:r/>
      <w:bookmarkStart w:id="291" w:name="_Toc127151731"/>
      <w:r/>
      <w:bookmarkStart w:id="292" w:name="_Toc150509281"/>
      <w:r/>
      <w:bookmarkStart w:id="293" w:name="_Toc127161444"/>
      <w:r/>
      <w:bookmarkStart w:id="294" w:name="_Toc150480768"/>
      <w:r/>
      <w:bookmarkStart w:id="295" w:name="_Toc164229225"/>
      <w:r/>
      <w:bookmarkStart w:id="296" w:name="_Toc151193844"/>
      <w:r/>
      <w:bookmarkStart w:id="297" w:name="_Toc150774735"/>
      <w:r/>
      <w:bookmarkStart w:id="298" w:name="_Toc142311032"/>
      <w:r/>
      <w:bookmarkStart w:id="299" w:name="_Toc151193772"/>
      <w:r/>
      <w:bookmarkStart w:id="300" w:name="_Toc520356155"/>
      <w:r/>
      <w:bookmarkStart w:id="301" w:name="_Toc151193700"/>
      <w:r/>
      <w:bookmarkStart w:id="302" w:name="_Toc164608799"/>
      <w:r/>
      <w:bookmarkStart w:id="303" w:name="_Toc164229371"/>
      <w:r/>
      <w:bookmarkStart w:id="304" w:name="_Toc151193918"/>
      <w:r/>
      <w:bookmarkStart w:id="305" w:name="_Toc151193628"/>
      <w:r>
        <w:rPr>
          <w:rFonts w:hint="eastAsia" w:ascii="宋体" w:hAnsi="宋体" w:eastAsia="宋体" w:cs="宋体"/>
          <w:b/>
          <w:color w:val="000000"/>
          <w:sz w:val="24"/>
          <w:highlight w:val="none"/>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306" w:name="_Toc151193701"/>
      <w:r/>
      <w:bookmarkStart w:id="307" w:name="_Toc127161445"/>
      <w:r/>
      <w:bookmarkStart w:id="308" w:name="_Toc264969221"/>
      <w:r/>
      <w:bookmarkStart w:id="309" w:name="_Toc150774736"/>
      <w:r/>
      <w:bookmarkStart w:id="310" w:name="_Toc520356156"/>
      <w:r/>
      <w:bookmarkStart w:id="311" w:name="_Toc149720824"/>
      <w:r/>
      <w:bookmarkStart w:id="312" w:name="_Toc164608645"/>
      <w:r/>
      <w:bookmarkStart w:id="313" w:name="_Toc151190158"/>
      <w:r/>
      <w:bookmarkStart w:id="314" w:name="_Toc226337227"/>
      <w:r/>
      <w:bookmarkStart w:id="315" w:name="_Toc127151531"/>
      <w:r/>
      <w:bookmarkStart w:id="316" w:name="_Toc226965804"/>
      <w:r/>
      <w:bookmarkStart w:id="317" w:name="_Toc195842896"/>
      <w:r/>
      <w:bookmarkStart w:id="318" w:name="_Toc164608800"/>
      <w:r/>
      <w:bookmarkStart w:id="319" w:name="_Toc265228369"/>
      <w:r/>
      <w:bookmarkStart w:id="320" w:name="_Toc151193629"/>
      <w:r/>
      <w:bookmarkStart w:id="321" w:name="_Toc150480769"/>
      <w:r/>
      <w:bookmarkStart w:id="322" w:name="_Toc226965721"/>
      <w:r/>
      <w:bookmarkStart w:id="323" w:name="_Toc142311033"/>
      <w:r/>
      <w:bookmarkStart w:id="324" w:name="_Toc164351625"/>
      <w:r/>
      <w:bookmarkStart w:id="325" w:name="_Toc127151732"/>
      <w:r/>
      <w:bookmarkStart w:id="326" w:name="_Toc226309775"/>
      <w:r/>
      <w:bookmarkStart w:id="327" w:name="_Toc150774631"/>
      <w:r/>
      <w:bookmarkStart w:id="328" w:name="_Toc305158873"/>
      <w:r/>
      <w:bookmarkStart w:id="329" w:name="_Toc305158799"/>
      <w:r/>
      <w:bookmarkStart w:id="330" w:name="_Toc164229372"/>
      <w:r/>
      <w:bookmarkStart w:id="331" w:name="_Toc164229226"/>
      <w:r/>
      <w:bookmarkStart w:id="332" w:name="_Toc151193919"/>
      <w:r/>
      <w:bookmarkStart w:id="333" w:name="_Toc151193773"/>
      <w:r/>
      <w:bookmarkStart w:id="334" w:name="_Ref467306513"/>
      <w:r/>
      <w:bookmarkStart w:id="335" w:name="_Toc151193845"/>
      <w:r/>
      <w:bookmarkStart w:id="336" w:name="_Toc150509282"/>
      <w:r>
        <w:rPr>
          <w:rFonts w:hint="eastAsia" w:ascii="宋体" w:hAnsi="宋体" w:eastAsia="宋体" w:cs="宋体"/>
          <w:b/>
          <w:color w:val="000000"/>
          <w:sz w:val="24"/>
          <w:highlight w:val="none"/>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line="360" w:lineRule="auto"/>
        <w:tabs>
          <w:tab w:val="left" w:pos="36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337" w:name="_Toc127151733"/>
      <w:r/>
      <w:bookmarkStart w:id="338" w:name="_Toc151193920"/>
      <w:r/>
      <w:bookmarkStart w:id="339" w:name="_Toc142311034"/>
      <w:r/>
      <w:bookmarkStart w:id="340" w:name="_Toc265228370"/>
      <w:r/>
      <w:bookmarkStart w:id="341" w:name="_Toc164351626"/>
      <w:r/>
      <w:bookmarkStart w:id="342" w:name="_Toc150509283"/>
      <w:r/>
      <w:bookmarkStart w:id="343" w:name="_Toc226965805"/>
      <w:r/>
      <w:bookmarkStart w:id="344" w:name="_Toc150774632"/>
      <w:r/>
      <w:bookmarkStart w:id="345" w:name="_Toc195842897"/>
      <w:r/>
      <w:bookmarkStart w:id="346" w:name="_Toc164608801"/>
      <w:r/>
      <w:bookmarkStart w:id="347" w:name="_Toc151193774"/>
      <w:r/>
      <w:bookmarkStart w:id="348" w:name="_Toc164608646"/>
      <w:r/>
      <w:bookmarkStart w:id="349" w:name="_Toc151190159"/>
      <w:r/>
      <w:bookmarkStart w:id="350" w:name="_Toc151193630"/>
      <w:r/>
      <w:bookmarkStart w:id="351" w:name="_Toc305158874"/>
      <w:r/>
      <w:bookmarkStart w:id="352" w:name="_Toc264969222"/>
      <w:r/>
      <w:bookmarkStart w:id="353" w:name="_Toc164229227"/>
      <w:r/>
      <w:bookmarkStart w:id="354" w:name="_Toc151193702"/>
      <w:r/>
      <w:bookmarkStart w:id="355" w:name="_Toc127151532"/>
      <w:r/>
      <w:bookmarkStart w:id="356" w:name="_Toc150774737"/>
      <w:r/>
      <w:bookmarkStart w:id="357" w:name="_Toc226965722"/>
      <w:r/>
      <w:bookmarkStart w:id="358" w:name="_Toc150480770"/>
      <w:r/>
      <w:bookmarkStart w:id="359" w:name="_Toc127161446"/>
      <w:r/>
      <w:bookmarkStart w:id="360" w:name="_Toc226337228"/>
      <w:r/>
      <w:bookmarkStart w:id="361" w:name="_Toc151193846"/>
      <w:r/>
      <w:bookmarkStart w:id="362" w:name="_Toc164229373"/>
      <w:r/>
      <w:bookmarkStart w:id="363" w:name="_Toc520356157"/>
      <w:r/>
      <w:bookmarkStart w:id="364" w:name="_Toc149720825"/>
      <w:r/>
      <w:bookmarkStart w:id="365" w:name="_Toc305158800"/>
      <w:r/>
      <w:bookmarkStart w:id="366" w:name="_Toc226309776"/>
      <w:r>
        <w:rPr>
          <w:rFonts w:hint="eastAsia" w:ascii="宋体" w:hAnsi="宋体" w:eastAsia="宋体" w:cs="宋体"/>
          <w:b/>
          <w:color w:val="000000"/>
          <w:sz w:val="24"/>
          <w:highlight w:val="none"/>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367" w:name="_Toc195842898"/>
      <w:r/>
      <w:bookmarkStart w:id="368" w:name="_Toc164608647"/>
      <w:r/>
      <w:bookmarkStart w:id="369" w:name="_Toc127151734"/>
      <w:r/>
      <w:bookmarkStart w:id="370" w:name="_Toc265228371"/>
      <w:r/>
      <w:bookmarkStart w:id="371" w:name="_Toc164229374"/>
      <w:r/>
      <w:bookmarkStart w:id="372" w:name="_Toc151193631"/>
      <w:r/>
      <w:bookmarkStart w:id="373" w:name="_Toc226965806"/>
      <w:r/>
      <w:bookmarkStart w:id="374" w:name="_Toc150774738"/>
      <w:r/>
      <w:bookmarkStart w:id="375" w:name="_Toc151193847"/>
      <w:r/>
      <w:bookmarkStart w:id="376" w:name="_Toc164351627"/>
      <w:r/>
      <w:bookmarkStart w:id="377" w:name="_Toc305158801"/>
      <w:r/>
      <w:bookmarkStart w:id="378" w:name="_Toc164608802"/>
      <w:r/>
      <w:bookmarkStart w:id="379" w:name="_Toc164229228"/>
      <w:r/>
      <w:bookmarkStart w:id="380" w:name="_Toc226337229"/>
      <w:r/>
      <w:bookmarkStart w:id="381" w:name="_Toc151193921"/>
      <w:r/>
      <w:bookmarkStart w:id="382" w:name="_Toc149720826"/>
      <w:r/>
      <w:bookmarkStart w:id="383" w:name="_Toc127151533"/>
      <w:r/>
      <w:bookmarkStart w:id="384" w:name="_Toc226965723"/>
      <w:r/>
      <w:bookmarkStart w:id="385" w:name="_Toc520356158"/>
      <w:r/>
      <w:bookmarkStart w:id="386" w:name="_Toc127161447"/>
      <w:r/>
      <w:bookmarkStart w:id="387" w:name="_Toc305158875"/>
      <w:r/>
      <w:bookmarkStart w:id="388" w:name="_Toc264969223"/>
      <w:r/>
      <w:bookmarkStart w:id="389" w:name="_Toc226309777"/>
      <w:r/>
      <w:bookmarkStart w:id="390" w:name="_Toc150774633"/>
      <w:r/>
      <w:bookmarkStart w:id="391" w:name="_Toc151193775"/>
      <w:r/>
      <w:bookmarkStart w:id="392" w:name="_Toc150480771"/>
      <w:r/>
      <w:bookmarkStart w:id="393" w:name="_Toc151190160"/>
      <w:r/>
      <w:bookmarkStart w:id="394" w:name="_Toc151193703"/>
      <w:r/>
      <w:bookmarkStart w:id="395" w:name="_Toc150509284"/>
      <w:r/>
      <w:bookmarkStart w:id="396" w:name="_Toc142311035"/>
      <w:r>
        <w:rPr>
          <w:rFonts w:hint="eastAsia" w:ascii="宋体" w:hAnsi="宋体" w:eastAsia="宋体" w:cs="宋体"/>
          <w:b/>
          <w:color w:val="000000"/>
          <w:sz w:val="24"/>
          <w:highlight w:val="none"/>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eastAsia="宋体" w:cs="宋体"/>
          <w:b/>
          <w:color w:val="000000"/>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bookmarkStart w:id="397" w:name="_Toc150774634"/>
      <w:r/>
      <w:bookmarkStart w:id="398" w:name="_Toc226337230"/>
      <w:r/>
      <w:bookmarkStart w:id="399" w:name="_Toc305158802"/>
      <w:r/>
      <w:bookmarkStart w:id="400" w:name="_Toc150480772"/>
      <w:r/>
      <w:bookmarkStart w:id="401" w:name="_Toc150509285"/>
      <w:r/>
      <w:bookmarkStart w:id="402" w:name="_Toc305158876"/>
      <w:r/>
      <w:bookmarkStart w:id="403" w:name="_Toc127151534"/>
      <w:r/>
      <w:bookmarkStart w:id="404" w:name="_Toc142311036"/>
      <w:r/>
      <w:bookmarkStart w:id="405" w:name="_Toc151193848"/>
      <w:r/>
      <w:bookmarkStart w:id="406" w:name="_Toc150774739"/>
      <w:r/>
      <w:bookmarkStart w:id="407" w:name="_Toc195842899"/>
      <w:r/>
      <w:bookmarkStart w:id="408" w:name="_Toc226965807"/>
      <w:r/>
      <w:bookmarkStart w:id="409" w:name="_Toc264969224"/>
      <w:r/>
      <w:bookmarkStart w:id="410" w:name="_Toc151193704"/>
      <w:r/>
      <w:bookmarkStart w:id="411" w:name="_Toc265228372"/>
      <w:r/>
      <w:bookmarkStart w:id="412" w:name="_Toc226309778"/>
      <w:r/>
      <w:bookmarkStart w:id="413" w:name="_Toc520356159"/>
      <w:r/>
      <w:bookmarkStart w:id="414" w:name="_Toc151193776"/>
      <w:r/>
      <w:bookmarkStart w:id="415" w:name="_Toc226965724"/>
      <w:r/>
      <w:bookmarkStart w:id="416" w:name="_Toc151193632"/>
      <w:r/>
      <w:bookmarkStart w:id="417" w:name="_Toc151190161"/>
      <w:r/>
      <w:bookmarkStart w:id="418" w:name="_Toc151193922"/>
      <w:r>
        <w:rPr>
          <w:rFonts w:hint="eastAsia" w:ascii="宋体" w:hAnsi="宋体" w:eastAsia="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419" w:name="_Toc127161449"/>
      <w:r/>
      <w:bookmarkStart w:id="420" w:name="_Toc150774635"/>
      <w:r/>
      <w:bookmarkStart w:id="421" w:name="_Toc305158877"/>
      <w:r/>
      <w:bookmarkStart w:id="422" w:name="_Toc226337231"/>
      <w:r/>
      <w:bookmarkStart w:id="423" w:name="_Toc226965808"/>
      <w:r/>
      <w:bookmarkStart w:id="424" w:name="_Toc265228373"/>
      <w:r/>
      <w:bookmarkStart w:id="425" w:name="_Toc151190162"/>
      <w:r/>
      <w:bookmarkStart w:id="426" w:name="_Toc150480773"/>
      <w:r/>
      <w:bookmarkStart w:id="427" w:name="_Toc264969225"/>
      <w:r/>
      <w:bookmarkStart w:id="428" w:name="_Toc151193923"/>
      <w:r/>
      <w:bookmarkStart w:id="429" w:name="_Toc164608804"/>
      <w:r/>
      <w:bookmarkStart w:id="430" w:name="_Toc520356160"/>
      <w:r/>
      <w:bookmarkStart w:id="431" w:name="_Toc150509286"/>
      <w:r/>
      <w:bookmarkStart w:id="432" w:name="_Toc151193633"/>
      <w:r/>
      <w:bookmarkStart w:id="433" w:name="_Toc127151535"/>
      <w:r/>
      <w:bookmarkStart w:id="434" w:name="_Toc164229376"/>
      <w:r/>
      <w:bookmarkStart w:id="435" w:name="_Toc151193777"/>
      <w:r/>
      <w:bookmarkStart w:id="436" w:name="_Toc127151736"/>
      <w:r/>
      <w:bookmarkStart w:id="437" w:name="_Toc149720828"/>
      <w:r/>
      <w:bookmarkStart w:id="438" w:name="_Toc195842900"/>
      <w:r/>
      <w:bookmarkStart w:id="439" w:name="_Toc150774740"/>
      <w:r/>
      <w:bookmarkStart w:id="440" w:name="_Toc151193705"/>
      <w:r/>
      <w:bookmarkStart w:id="441" w:name="_Toc151193849"/>
      <w:r/>
      <w:bookmarkStart w:id="442" w:name="_Toc226965725"/>
      <w:r/>
      <w:bookmarkStart w:id="443" w:name="_Toc164608649"/>
      <w:r/>
      <w:bookmarkStart w:id="444" w:name="_Toc164351629"/>
      <w:r/>
      <w:bookmarkStart w:id="445" w:name="_Toc164229230"/>
      <w:r/>
      <w:bookmarkStart w:id="446" w:name="_Toc305158803"/>
      <w:r/>
      <w:bookmarkStart w:id="447" w:name="_Toc142311037"/>
      <w:r/>
      <w:bookmarkStart w:id="448" w:name="_Toc226309779"/>
      <w:r>
        <w:rPr>
          <w:rFonts w:hint="eastAsia" w:ascii="宋体" w:hAnsi="宋体" w:eastAsia="宋体" w:cs="宋体"/>
          <w:b/>
          <w:color w:val="000000"/>
          <w:sz w:val="24"/>
          <w:highlight w:val="none"/>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hint="eastAsia" w:ascii="宋体" w:hAnsi="宋体" w:eastAsia="宋体" w:cs="宋体"/>
          <w:b/>
          <w:color w:val="000000"/>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本项目使用</w:t>
      </w:r>
      <w:r>
        <w:rPr>
          <w:rFonts w:hint="eastAsia" w:ascii="宋体" w:hAnsi="宋体" w:eastAsia="宋体" w:cs="宋体"/>
          <w:color w:val="000000"/>
          <w:sz w:val="24"/>
          <w:highlight w:val="none"/>
          <w:lang w:bidi="ar"/>
        </w:rPr>
        <w:t xml:space="preserve">政府采购一体化平台“苏采云”</w:t>
      </w:r>
      <w:r>
        <w:rPr>
          <w:rFonts w:hint="eastAsia" w:ascii="宋体" w:hAnsi="宋体" w:eastAsia="宋体" w:cs="宋体"/>
          <w:color w:val="000000"/>
          <w:sz w:val="24"/>
          <w:highlight w:val="none"/>
        </w:rPr>
        <w:t xml:space="preserve">。投标人根据招标文件及</w:t>
      </w:r>
      <w:r>
        <w:rPr>
          <w:rFonts w:hint="eastAsia" w:ascii="宋体" w:hAnsi="宋体" w:eastAsia="宋体" w:cs="宋体"/>
          <w:color w:val="000000"/>
          <w:sz w:val="24"/>
          <w:highlight w:val="none"/>
          <w:lang w:bidi="ar"/>
        </w:rPr>
        <w:t xml:space="preserve">政府采购一体化平台“苏采云”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449" w:name="_Toc127151737"/>
      <w:r/>
      <w:bookmarkStart w:id="450" w:name="_Toc226337232"/>
      <w:r/>
      <w:bookmarkStart w:id="451" w:name="_Toc520356161"/>
      <w:r/>
      <w:bookmarkStart w:id="452" w:name="_Toc164608805"/>
      <w:r/>
      <w:bookmarkStart w:id="453" w:name="_Toc151193850"/>
      <w:r/>
      <w:bookmarkStart w:id="454" w:name="_Toc149720829"/>
      <w:r/>
      <w:bookmarkStart w:id="455" w:name="_Toc264969226"/>
      <w:r/>
      <w:bookmarkStart w:id="456" w:name="_Toc142311038"/>
      <w:r/>
      <w:bookmarkStart w:id="457" w:name="_Toc151193706"/>
      <w:r/>
      <w:bookmarkStart w:id="458" w:name="_Toc151190163"/>
      <w:r/>
      <w:bookmarkStart w:id="459" w:name="_Toc151193634"/>
      <w:r/>
      <w:bookmarkStart w:id="460" w:name="_Toc226965809"/>
      <w:r/>
      <w:bookmarkStart w:id="461" w:name="_Toc150509287"/>
      <w:r/>
      <w:bookmarkStart w:id="462" w:name="_Toc127161450"/>
      <w:r/>
      <w:bookmarkStart w:id="463" w:name="_Toc150774636"/>
      <w:r/>
      <w:bookmarkStart w:id="464" w:name="_Toc164229377"/>
      <w:r/>
      <w:bookmarkStart w:id="465" w:name="_Toc164229231"/>
      <w:r/>
      <w:bookmarkStart w:id="466" w:name="_Toc195842901"/>
      <w:r/>
      <w:bookmarkStart w:id="467" w:name="_Toc265228374"/>
      <w:r/>
      <w:bookmarkStart w:id="468" w:name="_Toc305158878"/>
      <w:r/>
      <w:bookmarkStart w:id="469" w:name="_Toc151193924"/>
      <w:r/>
      <w:bookmarkStart w:id="470" w:name="_Toc127151536"/>
      <w:r/>
      <w:bookmarkStart w:id="471" w:name="_Toc305158804"/>
      <w:r/>
      <w:bookmarkStart w:id="472" w:name="_Toc164608650"/>
      <w:r/>
      <w:bookmarkStart w:id="473" w:name="_Toc226965726"/>
      <w:r/>
      <w:bookmarkStart w:id="474" w:name="_Toc151193778"/>
      <w:r/>
      <w:bookmarkStart w:id="475" w:name="_Toc164351630"/>
      <w:r/>
      <w:bookmarkStart w:id="476" w:name="_Toc150774741"/>
      <w:r/>
      <w:bookmarkStart w:id="477" w:name="_Toc226309780"/>
      <w:r/>
      <w:bookmarkStart w:id="478" w:name="_Toc150480774"/>
      <w:r>
        <w:rPr>
          <w:rFonts w:hint="eastAsia" w:ascii="宋体" w:hAnsi="宋体" w:eastAsia="宋体" w:cs="宋体"/>
          <w:b/>
          <w:color w:val="000000"/>
          <w:sz w:val="24"/>
          <w:highlight w:val="none"/>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b/>
          <w:color w:val="000000"/>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479" w:name="_Toc150509288"/>
      <w:r/>
      <w:bookmarkStart w:id="480" w:name="_Toc164608806"/>
      <w:r/>
      <w:bookmarkStart w:id="481" w:name="_Toc520356162"/>
      <w:r/>
      <w:bookmarkStart w:id="482" w:name="_Toc151193851"/>
      <w:r/>
      <w:bookmarkStart w:id="483" w:name="_Toc164229378"/>
      <w:r/>
      <w:bookmarkStart w:id="484" w:name="_Toc151193635"/>
      <w:r/>
      <w:bookmarkStart w:id="485" w:name="_Toc142311039"/>
      <w:r/>
      <w:bookmarkStart w:id="486" w:name="_Toc151193779"/>
      <w:r/>
      <w:bookmarkStart w:id="487" w:name="_Toc305158805"/>
      <w:r/>
      <w:bookmarkStart w:id="488" w:name="_Toc164229232"/>
      <w:r/>
      <w:bookmarkStart w:id="489" w:name="_Toc151193707"/>
      <w:r/>
      <w:bookmarkStart w:id="490" w:name="_Toc164351631"/>
      <w:r/>
      <w:bookmarkStart w:id="491" w:name="_Toc195842902"/>
      <w:r/>
      <w:bookmarkStart w:id="492" w:name="_Toc127161451"/>
      <w:r/>
      <w:bookmarkStart w:id="493" w:name="_Toc264969227"/>
      <w:r/>
      <w:bookmarkStart w:id="494" w:name="_Toc149720830"/>
      <w:r/>
      <w:bookmarkStart w:id="495" w:name="_Toc150774637"/>
      <w:r/>
      <w:bookmarkStart w:id="496" w:name="_Toc127151537"/>
      <w:r/>
      <w:bookmarkStart w:id="497" w:name="_Toc127151738"/>
      <w:r/>
      <w:bookmarkStart w:id="498" w:name="_Toc305158879"/>
      <w:r/>
      <w:bookmarkStart w:id="499" w:name="_Toc151190164"/>
      <w:r/>
      <w:bookmarkStart w:id="500" w:name="_Toc265228375"/>
      <w:r/>
      <w:bookmarkStart w:id="501" w:name="_Toc150774742"/>
      <w:r/>
      <w:bookmarkStart w:id="502" w:name="_Toc151193925"/>
      <w:r/>
      <w:bookmarkStart w:id="503" w:name="_Toc226337233"/>
      <w:r/>
      <w:bookmarkStart w:id="504" w:name="_Toc150480775"/>
      <w:r/>
      <w:bookmarkStart w:id="505" w:name="_Toc164608651"/>
      <w:r/>
      <w:bookmarkStart w:id="506" w:name="_Toc226309781"/>
      <w:r/>
      <w:bookmarkStart w:id="507" w:name="_Toc226965727"/>
      <w:r/>
      <w:bookmarkStart w:id="508" w:name="_Toc226965810"/>
      <w:r>
        <w:rPr>
          <w:rFonts w:hint="eastAsia" w:ascii="宋体" w:hAnsi="宋体" w:eastAsia="宋体" w:cs="宋体"/>
          <w:b/>
          <w:color w:val="000000"/>
          <w:sz w:val="24"/>
          <w:highlight w:val="none"/>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ind w:firstLine="562"/>
        <w:spacing w:before="0" w:line="360" w:lineRule="auto"/>
        <w:rPr>
          <w:rFonts w:hint="eastAsia" w:ascii="宋体" w:hAnsi="宋体" w:eastAsia="宋体" w:cs="宋体"/>
          <w:color w:val="000000"/>
          <w:sz w:val="28"/>
          <w:highlight w:val="none"/>
        </w:rPr>
      </w:pPr>
      <w:r/>
      <w:bookmarkStart w:id="509" w:name="_Toc305158806"/>
      <w:r/>
      <w:bookmarkStart w:id="510" w:name="_Toc226337234"/>
      <w:r/>
      <w:bookmarkStart w:id="511" w:name="_Toc150774743"/>
      <w:r/>
      <w:bookmarkStart w:id="512" w:name="_Toc226965728"/>
      <w:r/>
      <w:bookmarkStart w:id="513" w:name="_Toc151193780"/>
      <w:r/>
      <w:bookmarkStart w:id="514" w:name="_Toc150774638"/>
      <w:r/>
      <w:bookmarkStart w:id="515" w:name="_Toc520356163"/>
      <w:r/>
      <w:bookmarkStart w:id="516" w:name="_Toc151193708"/>
      <w:r/>
      <w:bookmarkStart w:id="517" w:name="_Toc151193852"/>
      <w:r/>
      <w:bookmarkStart w:id="518" w:name="_Toc226965811"/>
      <w:r/>
      <w:bookmarkStart w:id="519" w:name="_Toc195842903"/>
      <w:r/>
      <w:bookmarkStart w:id="520" w:name="_Toc150509289"/>
      <w:r/>
      <w:bookmarkStart w:id="521" w:name="_Toc151193636"/>
      <w:r/>
      <w:bookmarkStart w:id="522" w:name="_Toc150480776"/>
      <w:r/>
      <w:bookmarkStart w:id="523" w:name="_Toc305158880"/>
      <w:r/>
      <w:bookmarkStart w:id="524" w:name="_Toc226309782"/>
      <w:r/>
      <w:bookmarkStart w:id="525" w:name="_Toc142311040"/>
      <w:r/>
      <w:bookmarkStart w:id="526" w:name="_Toc265228376"/>
      <w:r/>
      <w:bookmarkStart w:id="527" w:name="_Toc151190165"/>
      <w:r/>
      <w:bookmarkStart w:id="528" w:name="_Toc127151538"/>
      <w:r/>
      <w:bookmarkStart w:id="529" w:name="_Toc264969228"/>
      <w:r/>
      <w:bookmarkStart w:id="530" w:name="_Toc151193926"/>
      <w:r>
        <w:rPr>
          <w:rFonts w:hint="eastAsia" w:ascii="宋体" w:hAnsi="宋体" w:eastAsia="宋体" w:cs="宋体"/>
          <w:color w:val="000000"/>
          <w:sz w:val="28"/>
          <w:highlight w:val="none"/>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531" w:name="_Toc264969229"/>
      <w:r/>
      <w:bookmarkStart w:id="532" w:name="_Toc151193709"/>
      <w:r/>
      <w:bookmarkStart w:id="533" w:name="_Toc150774744"/>
      <w:r/>
      <w:bookmarkStart w:id="534" w:name="_Toc164608808"/>
      <w:r/>
      <w:bookmarkStart w:id="535" w:name="_Toc164351633"/>
      <w:r/>
      <w:bookmarkStart w:id="536" w:name="_Toc195842904"/>
      <w:r/>
      <w:bookmarkStart w:id="537" w:name="_Toc151193637"/>
      <w:r/>
      <w:bookmarkStart w:id="538" w:name="_Toc151193927"/>
      <w:r/>
      <w:bookmarkStart w:id="539" w:name="_Toc305158881"/>
      <w:r/>
      <w:bookmarkStart w:id="540" w:name="_Toc305158807"/>
      <w:r/>
      <w:bookmarkStart w:id="541" w:name="_Toc127161453"/>
      <w:r/>
      <w:bookmarkStart w:id="542" w:name="_Toc151193781"/>
      <w:r/>
      <w:bookmarkStart w:id="543" w:name="_Toc164608653"/>
      <w:r/>
      <w:bookmarkStart w:id="544" w:name="_Toc142311041"/>
      <w:r/>
      <w:bookmarkStart w:id="545" w:name="_Toc151193853"/>
      <w:r/>
      <w:bookmarkStart w:id="546" w:name="_Toc151190166"/>
      <w:r/>
      <w:bookmarkStart w:id="547" w:name="_Toc149720832"/>
      <w:r/>
      <w:bookmarkStart w:id="548" w:name="_Toc226337235"/>
      <w:r/>
      <w:bookmarkStart w:id="549" w:name="_Toc164229234"/>
      <w:r/>
      <w:bookmarkStart w:id="550" w:name="_Toc226965812"/>
      <w:r/>
      <w:bookmarkStart w:id="551" w:name="_Toc150509290"/>
      <w:r/>
      <w:bookmarkStart w:id="552" w:name="_Toc150774639"/>
      <w:r/>
      <w:bookmarkStart w:id="553" w:name="_Toc226965729"/>
      <w:r/>
      <w:bookmarkStart w:id="554" w:name="_Toc226309783"/>
      <w:r/>
      <w:bookmarkStart w:id="555" w:name="_Toc265228377"/>
      <w:r/>
      <w:bookmarkStart w:id="556" w:name="_Toc164229380"/>
      <w:r/>
      <w:bookmarkStart w:id="557" w:name="_Toc150480777"/>
      <w:r/>
      <w:bookmarkStart w:id="558" w:name="_Toc127151740"/>
      <w:r/>
      <w:bookmarkStart w:id="559" w:name="_Toc520356164"/>
      <w:r/>
      <w:bookmarkStart w:id="560" w:name="_Toc127151539"/>
      <w:r>
        <w:rPr>
          <w:rFonts w:hint="eastAsia" w:ascii="宋体" w:hAnsi="宋体" w:eastAsia="宋体" w:cs="宋体"/>
          <w:b/>
          <w:color w:val="000000"/>
          <w:sz w:val="24"/>
          <w:highlight w:val="none"/>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1" w:name="_Toc520356165"/>
      <w:r>
        <w:rPr>
          <w:rFonts w:hint="eastAsia" w:ascii="宋体" w:hAnsi="宋体" w:eastAsia="宋体" w:cs="宋体"/>
          <w:color w:val="000000"/>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投标人代表对开标过程和开标记录有疑义，以及认为</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、采购代理机构相关工作人员有需要回避的情形的，应当场通过业务系统提出询问或者回避申请。</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因本项目采用不见面交易的方式，在开标、评审过程中，</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如果在采购活动过程中出现以下情形，导致</w:t>
      </w:r>
      <w:r>
        <w:rPr>
          <w:rFonts w:hint="eastAsia" w:ascii="宋体" w:hAnsi="宋体" w:eastAsia="宋体" w:cs="宋体"/>
          <w:color w:val="000000"/>
          <w:sz w:val="24"/>
          <w:highlight w:val="none"/>
          <w:lang w:bidi="ar"/>
        </w:rPr>
        <w:t xml:space="preserve">政府采购一体化平台“苏采云”</w:t>
      </w:r>
      <w:r>
        <w:rPr>
          <w:rFonts w:hint="eastAsia" w:ascii="宋体" w:hAnsi="宋体" w:eastAsia="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见第三章《资格审查》。</w:t>
      </w:r>
      <w:bookmarkEnd w:id="561"/>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562" w:name="_Toc264969230"/>
      <w:r/>
      <w:bookmarkStart w:id="563" w:name="_Toc226965730"/>
      <w:r/>
      <w:bookmarkStart w:id="564" w:name="_Toc164608809"/>
      <w:r/>
      <w:bookmarkStart w:id="565" w:name="_Toc151193782"/>
      <w:r/>
      <w:bookmarkStart w:id="566" w:name="_Toc226309784"/>
      <w:r/>
      <w:bookmarkStart w:id="567" w:name="_Toc151193638"/>
      <w:r/>
      <w:bookmarkStart w:id="568" w:name="_Toc142311042"/>
      <w:r/>
      <w:bookmarkStart w:id="569" w:name="_Toc149720833"/>
      <w:r/>
      <w:bookmarkStart w:id="570" w:name="_Toc305158882"/>
      <w:r/>
      <w:bookmarkStart w:id="571" w:name="_Toc226965813"/>
      <w:r/>
      <w:bookmarkStart w:id="572" w:name="_Toc127151741"/>
      <w:r/>
      <w:bookmarkStart w:id="573" w:name="_Toc150774640"/>
      <w:r/>
      <w:bookmarkStart w:id="574" w:name="_Toc164608654"/>
      <w:r/>
      <w:bookmarkStart w:id="575" w:name="_Toc151190167"/>
      <w:r/>
      <w:bookmarkStart w:id="576" w:name="_Toc195842905"/>
      <w:r/>
      <w:bookmarkStart w:id="577" w:name="_Toc150480778"/>
      <w:r/>
      <w:bookmarkStart w:id="578" w:name="_Toc265228378"/>
      <w:r/>
      <w:bookmarkStart w:id="579" w:name="_Toc164351634"/>
      <w:r/>
      <w:bookmarkStart w:id="580" w:name="_Toc127151540"/>
      <w:r/>
      <w:bookmarkStart w:id="581" w:name="_Toc305158808"/>
      <w:r/>
      <w:bookmarkStart w:id="582" w:name="_Toc151193928"/>
      <w:r/>
      <w:bookmarkStart w:id="583" w:name="_Toc151193710"/>
      <w:r/>
      <w:bookmarkStart w:id="584" w:name="_Toc164229381"/>
      <w:r/>
      <w:bookmarkStart w:id="585" w:name="_Toc164229235"/>
      <w:r/>
      <w:bookmarkStart w:id="586" w:name="_Toc127161454"/>
      <w:r/>
      <w:bookmarkStart w:id="587" w:name="_Toc150509291"/>
      <w:r/>
      <w:bookmarkStart w:id="588" w:name="_Toc150774745"/>
      <w:r/>
      <w:bookmarkStart w:id="589" w:name="_Toc151193854"/>
      <w:r/>
      <w:bookmarkStart w:id="590" w:name="_Toc226337236"/>
      <w:r>
        <w:rPr>
          <w:rFonts w:hint="eastAsia" w:ascii="宋体" w:hAnsi="宋体" w:eastAsia="宋体" w:cs="宋体"/>
          <w:b/>
          <w:color w:val="000000"/>
          <w:sz w:val="24"/>
          <w:highlight w:val="none"/>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91" w:name="_Toc520356166"/>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评审专家须符合相关规定。依法自行选定评审专家的，</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和采购代理机构将查询有关信用记录，对具有行贿、受贿、欺诈等不良信用记录的人员，拒绝其参与政府采购活动。</w:t>
      </w:r>
      <w:bookmarkEnd w:id="591"/>
      <w:r/>
      <w:bookmarkStart w:id="592" w:name="_Toc520356169"/>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2"/>
        <w:ind w:firstLine="562"/>
        <w:spacing w:before="0" w:line="360" w:lineRule="auto"/>
        <w:rPr>
          <w:rFonts w:hint="eastAsia" w:ascii="宋体" w:hAnsi="宋体" w:eastAsia="宋体" w:cs="宋体"/>
          <w:color w:val="000000"/>
          <w:sz w:val="28"/>
          <w:highlight w:val="none"/>
        </w:rPr>
      </w:pPr>
      <w:r/>
      <w:bookmarkStart w:id="593" w:name="_Toc195842910"/>
      <w:r/>
      <w:bookmarkStart w:id="594" w:name="_Toc151193643"/>
      <w:r/>
      <w:bookmarkStart w:id="595" w:name="_Toc127151545"/>
      <w:r/>
      <w:bookmarkStart w:id="596" w:name="_Toc150774645"/>
      <w:r/>
      <w:bookmarkStart w:id="597" w:name="_Toc151193715"/>
      <w:r/>
      <w:bookmarkStart w:id="598" w:name="_Toc305158813"/>
      <w:r/>
      <w:bookmarkStart w:id="599" w:name="_Toc151190172"/>
      <w:r/>
      <w:bookmarkStart w:id="600" w:name="_Toc264969235"/>
      <w:r/>
      <w:bookmarkStart w:id="601" w:name="_Toc151193933"/>
      <w:r/>
      <w:bookmarkStart w:id="602" w:name="_Toc151193787"/>
      <w:r/>
      <w:bookmarkStart w:id="603" w:name="_Toc151193859"/>
      <w:r/>
      <w:bookmarkStart w:id="604" w:name="_Toc150774750"/>
      <w:r/>
      <w:bookmarkStart w:id="605" w:name="_Toc150480783"/>
      <w:r/>
      <w:bookmarkStart w:id="606" w:name="_Toc226965818"/>
      <w:r/>
      <w:bookmarkStart w:id="607" w:name="_Toc305158887"/>
      <w:r/>
      <w:bookmarkStart w:id="608" w:name="_Toc142311047"/>
      <w:r/>
      <w:bookmarkStart w:id="609" w:name="_Toc226309789"/>
      <w:r/>
      <w:bookmarkStart w:id="610" w:name="_Toc265228383"/>
      <w:r/>
      <w:bookmarkStart w:id="611" w:name="_Toc226965735"/>
      <w:r/>
      <w:bookmarkStart w:id="612" w:name="_Toc150509296"/>
      <w:r/>
      <w:bookmarkStart w:id="613" w:name="_Toc226337241"/>
      <w:r>
        <w:rPr>
          <w:rFonts w:hint="eastAsia" w:ascii="宋体" w:hAnsi="宋体" w:eastAsia="宋体" w:cs="宋体"/>
          <w:color w:val="000000"/>
          <w:sz w:val="28"/>
          <w:highlight w:val="none"/>
        </w:rPr>
        <w:t xml:space="preserve">六   </w:t>
      </w:r>
      <w:bookmarkEnd w:id="592"/>
      <w:r>
        <w:rPr>
          <w:rFonts w:hint="eastAsia" w:ascii="宋体" w:hAnsi="宋体" w:eastAsia="宋体" w:cs="宋体"/>
          <w:color w:val="000000"/>
          <w:sz w:val="28"/>
          <w:highlight w:val="none"/>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151193789"/>
      <w:r/>
      <w:bookmarkStart w:id="615" w:name="_Toc164608816"/>
      <w:r/>
      <w:bookmarkStart w:id="616" w:name="_Toc226309791"/>
      <w:r/>
      <w:bookmarkStart w:id="617" w:name="_Toc164229388"/>
      <w:r/>
      <w:bookmarkStart w:id="618" w:name="_Toc265228385"/>
      <w:r/>
      <w:bookmarkStart w:id="619" w:name="_Toc150774752"/>
      <w:r/>
      <w:bookmarkStart w:id="620" w:name="_Toc195842912"/>
      <w:r/>
      <w:bookmarkStart w:id="621" w:name="_Toc226337243"/>
      <w:r/>
      <w:bookmarkStart w:id="622" w:name="_Toc164229242"/>
      <w:r/>
      <w:bookmarkStart w:id="623" w:name="_Toc151193717"/>
      <w:r/>
      <w:bookmarkStart w:id="624" w:name="_Toc151193645"/>
      <w:r/>
      <w:bookmarkStart w:id="625" w:name="_Toc264969237"/>
      <w:r/>
      <w:bookmarkStart w:id="626" w:name="_Toc150480785"/>
      <w:r/>
      <w:bookmarkStart w:id="627" w:name="_Toc164351641"/>
      <w:r/>
      <w:bookmarkStart w:id="628" w:name="_Toc151193935"/>
      <w:r/>
      <w:bookmarkStart w:id="629" w:name="_Toc127151748"/>
      <w:r/>
      <w:bookmarkStart w:id="630" w:name="_Toc151190174"/>
      <w:r/>
      <w:bookmarkStart w:id="631" w:name="_Toc226965820"/>
      <w:r/>
      <w:bookmarkStart w:id="632" w:name="_Toc127161461"/>
      <w:r/>
      <w:bookmarkStart w:id="633" w:name="_Toc226965737"/>
      <w:r/>
      <w:bookmarkStart w:id="634" w:name="_Toc150774647"/>
      <w:r/>
      <w:bookmarkStart w:id="635" w:name="_Toc149720840"/>
      <w:r/>
      <w:bookmarkStart w:id="636" w:name="_Toc142311049"/>
      <w:r/>
      <w:bookmarkStart w:id="637" w:name="_Toc305158889"/>
      <w:r/>
      <w:bookmarkStart w:id="638" w:name="_Toc164608661"/>
      <w:r/>
      <w:bookmarkStart w:id="639" w:name="_Toc150509298"/>
      <w:r/>
      <w:bookmarkStart w:id="640" w:name="_Toc305158815"/>
      <w:r/>
      <w:bookmarkStart w:id="641" w:name="_Toc151193861"/>
      <w:r/>
      <w:bookmarkStart w:id="642" w:name="_Toc127151547"/>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将在评标报告确定的中标候选人名单中按顺序确定中标人，中标候选人并列的，由</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依法确定。</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643" w:name="_Toc305158891"/>
      <w:r/>
      <w:bookmarkStart w:id="644" w:name="_Toc305158817"/>
      <w:r/>
      <w:bookmarkStart w:id="645" w:name="_Toc151193937"/>
      <w:r/>
      <w:bookmarkStart w:id="646" w:name="_Toc127151549"/>
      <w:r/>
      <w:bookmarkStart w:id="647" w:name="_Toc127151750"/>
      <w:r/>
      <w:bookmarkStart w:id="648" w:name="_Toc164351643"/>
      <w:r/>
      <w:bookmarkStart w:id="649" w:name="_Toc151193647"/>
      <w:r/>
      <w:bookmarkStart w:id="650" w:name="_Toc150480787"/>
      <w:r/>
      <w:bookmarkStart w:id="651" w:name="_Toc149720842"/>
      <w:r/>
      <w:bookmarkStart w:id="652" w:name="_Toc151193791"/>
      <w:r/>
      <w:bookmarkStart w:id="653" w:name="_Toc150509300"/>
      <w:r/>
      <w:bookmarkStart w:id="654" w:name="_Toc142311051"/>
      <w:r/>
      <w:bookmarkStart w:id="655" w:name="_Toc164608818"/>
      <w:r/>
      <w:bookmarkStart w:id="656" w:name="_Toc150774649"/>
      <w:r/>
      <w:bookmarkStart w:id="657" w:name="_Toc164229390"/>
      <w:r/>
      <w:bookmarkStart w:id="658" w:name="_Toc151190176"/>
      <w:r/>
      <w:bookmarkStart w:id="659" w:name="_Toc226309793"/>
      <w:r/>
      <w:bookmarkStart w:id="660" w:name="_Toc164608663"/>
      <w:r/>
      <w:bookmarkStart w:id="661" w:name="_Toc195842914"/>
      <w:r/>
      <w:bookmarkStart w:id="662" w:name="_Toc164229244"/>
      <w:r/>
      <w:bookmarkStart w:id="663" w:name="_Toc226965822"/>
      <w:r/>
      <w:bookmarkStart w:id="664" w:name="_Toc151193863"/>
      <w:r/>
      <w:bookmarkStart w:id="665" w:name="_Toc151193719"/>
      <w:r/>
      <w:bookmarkStart w:id="666" w:name="_Toc127161463"/>
      <w:r/>
      <w:bookmarkStart w:id="667" w:name="_Toc264969239"/>
      <w:r/>
      <w:bookmarkStart w:id="668" w:name="_Toc150774754"/>
      <w:r/>
      <w:bookmarkStart w:id="669" w:name="_Toc265228387"/>
      <w:r/>
      <w:bookmarkStart w:id="670" w:name="_Toc226965739"/>
      <w:r/>
      <w:bookmarkStart w:id="671" w:name="_Toc226337245"/>
      <w:r/>
      <w:bookmarkStart w:id="672" w:name="_Ref467306425"/>
      <w:r/>
      <w:bookmarkStart w:id="673" w:name="_Toc520356176"/>
      <w:r/>
      <w:bookmarkStart w:id="674" w:name="_Ref467307090"/>
      <w:r>
        <w:rPr>
          <w:rFonts w:hint="eastAsia" w:ascii="宋体" w:hAnsi="宋体" w:eastAsia="宋体" w:cs="宋体"/>
          <w:b/>
          <w:color w:val="000000"/>
          <w:sz w:val="24"/>
          <w:highlight w:val="none"/>
        </w:rPr>
        <w:t xml:space="preserve">中标公告与中标通知书</w:t>
      </w:r>
      <w:bookmarkEnd w:id="643"/>
      <w:r/>
      <w:bookmarkEnd w:id="644"/>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或采购代理机构自中标人确定之日起2个工作日内，在常州市政府采购网公告中标结果，同时向中标人发出中标通知书，中标公告期限为1个工作日。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中标通知书对</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和中标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均具有法律效力。中标通知书发出后，</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改变中标结果的，或者中标</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放弃中标项目的，应当依法承担法律责任。</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符合专业条件的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或者对招标文件作实质响应的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不足三家的；</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投标人的报价均超过了采购预算，</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不能支付的；</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rPr>
        <w:t xml:space="preserve">平台系统</w:t>
      </w:r>
      <w:r>
        <w:rPr>
          <w:rFonts w:hint="eastAsia" w:ascii="宋体" w:hAnsi="宋体" w:eastAsia="宋体" w:cs="宋体"/>
          <w:color w:val="000000"/>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将废标理由通知所有投标人。</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bookmarkStart w:id="675" w:name="_Toc264969240"/>
      <w:r/>
      <w:bookmarkStart w:id="676" w:name="_Toc150774755"/>
      <w:r/>
      <w:bookmarkStart w:id="677" w:name="_Ref467307204"/>
      <w:r/>
      <w:bookmarkStart w:id="678" w:name="_Toc151193864"/>
      <w:r/>
      <w:bookmarkStart w:id="679" w:name="_Toc195842915"/>
      <w:r/>
      <w:bookmarkStart w:id="680" w:name="_Toc127151550"/>
      <w:r/>
      <w:bookmarkStart w:id="681" w:name="_Toc150509301"/>
      <w:r/>
      <w:bookmarkStart w:id="682" w:name="_Ref467306978"/>
      <w:r/>
      <w:bookmarkStart w:id="683" w:name="_Toc151193792"/>
      <w:r/>
      <w:bookmarkStart w:id="684" w:name="_Toc305158892"/>
      <w:r/>
      <w:bookmarkStart w:id="685" w:name="_Toc127151751"/>
      <w:r/>
      <w:bookmarkStart w:id="686" w:name="_Toc520356175"/>
      <w:r/>
      <w:bookmarkStart w:id="687" w:name="_Toc151193720"/>
      <w:r/>
      <w:bookmarkStart w:id="688" w:name="_Toc164229391"/>
      <w:r/>
      <w:bookmarkStart w:id="689" w:name="_Toc164351644"/>
      <w:r/>
      <w:bookmarkStart w:id="690" w:name="_Toc151193648"/>
      <w:r/>
      <w:bookmarkStart w:id="691" w:name="_Toc164229245"/>
      <w:r/>
      <w:bookmarkStart w:id="692" w:name="_Toc150480788"/>
      <w:r/>
      <w:bookmarkStart w:id="693" w:name="_Toc164608664"/>
      <w:r/>
      <w:bookmarkStart w:id="694" w:name="_Ref467306377"/>
      <w:r/>
      <w:bookmarkStart w:id="695" w:name="_Toc305158818"/>
      <w:r/>
      <w:bookmarkStart w:id="696" w:name="_Toc151193938"/>
      <w:r/>
      <w:bookmarkStart w:id="697" w:name="_Toc265228388"/>
      <w:r/>
      <w:bookmarkStart w:id="698" w:name="_Ref467307062"/>
      <w:r/>
      <w:bookmarkStart w:id="699" w:name="_Toc226965740"/>
      <w:r/>
      <w:bookmarkStart w:id="700" w:name="_Toc127161464"/>
      <w:r/>
      <w:bookmarkStart w:id="701" w:name="_Toc142311052"/>
      <w:r/>
      <w:bookmarkStart w:id="702" w:name="_Toc226965823"/>
      <w:r/>
      <w:bookmarkStart w:id="703" w:name="_Toc164608819"/>
      <w:r/>
      <w:bookmarkStart w:id="704" w:name="_Toc226337246"/>
      <w:r/>
      <w:bookmarkStart w:id="705" w:name="_Toc150774650"/>
      <w:r/>
      <w:bookmarkStart w:id="706" w:name="_Toc149720843"/>
      <w:r/>
      <w:bookmarkStart w:id="707" w:name="_Toc151190177"/>
      <w:r/>
      <w:bookmarkStart w:id="708" w:name="_Toc226309794"/>
      <w:r>
        <w:rPr>
          <w:rFonts w:hint="eastAsia" w:ascii="宋体" w:hAnsi="宋体" w:eastAsia="宋体" w:cs="宋体"/>
          <w:b/>
          <w:color w:val="000000"/>
          <w:sz w:val="24"/>
          <w:highlight w:val="none"/>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中标人拒绝与</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签订合同的，</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联合体中标的，联合体各方应当共同与</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签订合同，就中标项目向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承担连带责任。</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。中标人就采购项目和分包项目向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负责，分包</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就分包项目承担责任。</w:t>
      </w:r>
      <w:bookmarkEnd w:id="672"/>
      <w:r/>
      <w:bookmarkEnd w:id="673"/>
      <w:r/>
      <w:bookmarkEnd w:id="674"/>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投标人对政府采购活动事项有疑问的，可依法提出询问，并按《投标人须知资料表》载明的形式送达</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或采购代理机构对</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投标人认为</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、采购代理机构提出质疑。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招标文件中采购需求以及相关部分（第四章、第五章以及投标人资格要求）由</w:t>
      </w:r>
      <w:r>
        <w:rPr>
          <w:rFonts w:hint="eastAsia" w:ascii="宋体" w:hAnsi="宋体" w:eastAsia="宋体" w:cs="宋体"/>
          <w:b/>
          <w:color w:val="000000"/>
          <w:sz w:val="24"/>
          <w:highlight w:val="none"/>
          <w:lang w:eastAsia="zh-CN"/>
        </w:rPr>
        <w:t xml:space="preserve">招标人</w:t>
      </w:r>
      <w:r>
        <w:rPr>
          <w:rFonts w:hint="eastAsia" w:ascii="宋体" w:hAnsi="宋体" w:eastAsia="宋体" w:cs="宋体"/>
          <w:b/>
          <w:color w:val="000000"/>
          <w:sz w:val="24"/>
          <w:highlight w:val="none"/>
        </w:rPr>
        <w:t xml:space="preserve">负责制定和管理，对该部分内容有询问或者质疑的，投标人应当向</w:t>
      </w:r>
      <w:r>
        <w:rPr>
          <w:rFonts w:hint="eastAsia" w:ascii="宋体" w:hAnsi="宋体" w:eastAsia="宋体" w:cs="宋体"/>
          <w:b/>
          <w:color w:val="000000"/>
          <w:sz w:val="24"/>
          <w:highlight w:val="none"/>
          <w:lang w:eastAsia="zh-CN"/>
        </w:rPr>
        <w:t xml:space="preserve">招标人</w:t>
      </w:r>
      <w:r>
        <w:rPr>
          <w:rFonts w:hint="eastAsia" w:ascii="宋体" w:hAnsi="宋体" w:eastAsia="宋体" w:cs="宋体"/>
          <w:b/>
          <w:color w:val="000000"/>
          <w:sz w:val="24"/>
          <w:highlight w:val="none"/>
        </w:rPr>
        <w:t xml:space="preserve">书面提出，由</w:t>
      </w:r>
      <w:r>
        <w:rPr>
          <w:rFonts w:hint="eastAsia" w:ascii="宋体" w:hAnsi="宋体" w:eastAsia="宋体" w:cs="宋体"/>
          <w:b/>
          <w:color w:val="000000"/>
          <w:sz w:val="24"/>
          <w:highlight w:val="none"/>
          <w:lang w:eastAsia="zh-CN"/>
        </w:rPr>
        <w:t xml:space="preserve">招标人</w:t>
      </w:r>
      <w:r>
        <w:rPr>
          <w:rFonts w:hint="eastAsia" w:ascii="宋体" w:hAnsi="宋体" w:eastAsia="宋体" w:cs="宋体"/>
          <w:b/>
          <w:color w:val="000000"/>
          <w:sz w:val="24"/>
          <w:highlight w:val="none"/>
        </w:rPr>
        <w:t xml:space="preserve">负责接收和回复。</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质疑函须使用财政部制定的范本文件。（下载网址：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"http://gks.mof.gov.cn/ztztz/zhengfucaigouguanli/201802/t20180201_2804589.htm" </w:instrText>
      </w:r>
      <w:r>
        <w:rPr>
          <w:rFonts w:hint="eastAsia" w:ascii="宋体" w:hAnsi="宋体" w:eastAsia="宋体" w:cs="宋体"/>
          <w:color w:val="000000"/>
          <w:highlight w:val="none"/>
        </w:rPr>
        <w:fldChar w:fldCharType="separate"/>
      </w:r>
      <w:r>
        <w:rPr>
          <w:rStyle w:val="1064"/>
          <w:rFonts w:hint="eastAsia" w:ascii="宋体" w:hAnsi="宋体" w:eastAsia="宋体" w:cs="宋体"/>
          <w:color w:val="000000"/>
          <w:highlight w:val="none"/>
        </w:rPr>
        <w:t xml:space="preserve">http://gk</w:t>
      </w:r>
      <w:bookmarkStart w:id="709" w:name="_Hlt100654014"/>
      <w:r>
        <w:rPr>
          <w:rStyle w:val="1064"/>
          <w:rFonts w:hint="eastAsia" w:ascii="宋体" w:hAnsi="宋体" w:eastAsia="宋体" w:cs="宋体"/>
          <w:color w:val="000000"/>
          <w:highlight w:val="none"/>
        </w:rPr>
        <w:t xml:space="preserve">s</w:t>
      </w:r>
      <w:bookmarkEnd w:id="709"/>
      <w:r>
        <w:rPr>
          <w:rStyle w:val="1064"/>
          <w:rFonts w:hint="eastAsia" w:ascii="宋体" w:hAnsi="宋体" w:eastAsia="宋体" w:cs="宋体"/>
          <w:color w:val="000000"/>
          <w:highlight w:val="none"/>
        </w:rPr>
        <w:t xml:space="preserve">.m</w:t>
      </w:r>
      <w:bookmarkStart w:id="710" w:name="_Hlt100653994"/>
      <w:r/>
      <w:bookmarkStart w:id="711" w:name="_Hlt100653993"/>
      <w:r>
        <w:rPr>
          <w:rStyle w:val="1064"/>
          <w:rFonts w:hint="eastAsia" w:ascii="宋体" w:hAnsi="宋体" w:eastAsia="宋体" w:cs="宋体"/>
          <w:color w:val="000000"/>
          <w:highlight w:val="none"/>
        </w:rPr>
        <w:t xml:space="preserve">o</w:t>
      </w:r>
      <w:bookmarkEnd w:id="710"/>
      <w:r/>
      <w:bookmarkEnd w:id="711"/>
      <w:r>
        <w:rPr>
          <w:rStyle w:val="1064"/>
          <w:rFonts w:hint="eastAsia" w:ascii="宋体" w:hAnsi="宋体" w:eastAsia="宋体" w:cs="宋体"/>
          <w:color w:val="000000"/>
          <w:highlight w:val="none"/>
        </w:rPr>
        <w:t xml:space="preserve">f.gov.cn/ztztz/zhengfucaigouguanli/201802/t20180201_2804589.htm</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投标人应在法定质疑期内一次性提出针对同一采购程序环节的质疑，法定质疑期内针对同一采购程序环节再次提出的质疑，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outlineLvl w:val="0"/>
      </w:pPr>
      <w:r/>
      <w:bookmarkStart w:id="712" w:name="_Toc353825544"/>
      <w:r/>
      <w:bookmarkStart w:id="713" w:name="_Toc265228392"/>
      <w:r/>
      <w:bookmarkStart w:id="714" w:name="_Toc226965827"/>
      <w:r/>
      <w:bookmarkStart w:id="715" w:name="_Toc353873664"/>
      <w:r/>
      <w:bookmarkStart w:id="716" w:name="_Toc127151554"/>
      <w:r/>
      <w:bookmarkStart w:id="717" w:name="_Toc305158896"/>
      <w:r/>
      <w:bookmarkStart w:id="718" w:name="_Toc353873934"/>
      <w:r/>
      <w:bookmarkStart w:id="719" w:name="_Toc226337250"/>
      <w:r/>
      <w:bookmarkStart w:id="720" w:name="_Toc142311056"/>
      <w:r/>
      <w:bookmarkStart w:id="721" w:name="_Toc305158822"/>
      <w:r/>
      <w:bookmarkStart w:id="722" w:name="_Toc264969244"/>
      <w:r/>
      <w:bookmarkStart w:id="723" w:name="_Toc150480792"/>
      <w:r/>
      <w:bookmarkStart w:id="724" w:name="_Toc150774759"/>
      <w:r>
        <w:rPr>
          <w:rFonts w:hint="eastAsia" w:ascii="宋体" w:hAnsi="宋体" w:eastAsia="宋体" w:cs="宋体"/>
          <w:color w:val="000000"/>
          <w:sz w:val="24"/>
          <w:highlight w:val="none"/>
        </w:rPr>
        <w:br w:type="page" w:clear="all"/>
      </w:r>
      <w:bookmarkStart w:id="725" w:name="_Toc16107"/>
      <w:r/>
      <w:bookmarkStart w:id="726" w:name="_Toc99301421"/>
      <w:r>
        <w:rPr>
          <w:rFonts w:hint="eastAsia" w:ascii="宋体" w:hAnsi="宋体" w:eastAsia="宋体" w:cs="宋体"/>
          <w:b/>
          <w:color w:val="000000"/>
          <w:sz w:val="36"/>
          <w:szCs w:val="36"/>
          <w:highlight w:val="none"/>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eastAsia="宋体" w:cs="宋体"/>
          <w:b/>
          <w:color w:val="000000"/>
          <w:sz w:val="36"/>
          <w:szCs w:val="36"/>
          <w:highlight w:val="none"/>
        </w:rPr>
        <w:t xml:space="preserve">资格审查</w:t>
      </w:r>
      <w:bookmarkEnd w:id="725"/>
      <w:r/>
      <w:bookmarkEnd w:id="726"/>
      <w:r/>
      <w:bookmarkStart w:id="727" w:name="_Toc487900382"/>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bookmarkStart w:id="728" w:name="_Toc99301422"/>
      <w:r>
        <w:rPr>
          <w:rFonts w:hint="eastAsia" w:ascii="宋体" w:hAnsi="宋体" w:eastAsia="宋体" w:cs="宋体"/>
          <w:b/>
          <w:color w:val="000000"/>
          <w:sz w:val="24"/>
          <w:highlight w:val="none"/>
        </w:rPr>
        <w:t xml:space="preserve">一、资格审查程序</w:t>
      </w:r>
      <w:bookmarkEnd w:id="728"/>
      <w:r/>
      <w:r/>
    </w:p>
    <w:p>
      <w:pPr>
        <w:numPr>
          <w:ilvl w:val="0"/>
          <w:numId w:val="11"/>
        </w:numPr>
        <w:ind w:left="0" w:firstLine="480"/>
        <w:spacing w:line="360" w:lineRule="auto"/>
        <w:tabs>
          <w:tab w:val="left" w:pos="28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开标结束后，</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将根据《资格审查要求》中的规定，对投标人进行资格审查，并形成资格审查结果。</w:t>
      </w:r>
      <w:r/>
    </w:p>
    <w:p>
      <w:pPr>
        <w:numPr>
          <w:ilvl w:val="0"/>
          <w:numId w:val="11"/>
        </w:numPr>
        <w:ind w:left="0" w:firstLine="480"/>
        <w:spacing w:line="360" w:lineRule="auto"/>
        <w:tabs>
          <w:tab w:val="left" w:pos="28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11"/>
        </w:numPr>
        <w:ind w:left="0" w:firstLine="480"/>
        <w:spacing w:line="360" w:lineRule="auto"/>
        <w:tabs>
          <w:tab w:val="left" w:pos="28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资格审查合格的投标人不足3家的，不进行评标。</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p>
    <w:tbl>
      <w:tblPr>
        <w:tblStyle w:val="77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3"/>
        <w:gridCol w:w="1757"/>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bookmarkStart w:id="729" w:name="_Hlt487972895"/>
            <w:r/>
            <w:bookmarkEnd w:id="729"/>
            <w:r>
              <w:rPr>
                <w:rFonts w:hint="eastAsia" w:ascii="宋体" w:hAnsi="宋体" w:eastAsia="宋体" w:cs="宋体"/>
                <w:b/>
                <w:color w:val="000000"/>
                <w:sz w:val="24"/>
                <w:highlight w:val="none"/>
              </w:rPr>
              <w:t xml:space="preserve">序号</w:t>
            </w:r>
            <w:r/>
          </w:p>
        </w:tc>
        <w:tc>
          <w:tcPr>
            <w:tcW w:w="1066"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t>
            </w:r>
            <w:r>
              <w:rPr>
                <w:rFonts w:hint="eastAsia" w:ascii="宋体" w:hAnsi="宋体" w:eastAsia="宋体" w:cs="宋体"/>
                <w:color w:val="000000"/>
                <w:highlight w:val="none"/>
              </w:rPr>
              <w:t xml:space="preserve">www.creditchina.gov.cn</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www.ccgp.gov.cn</w:t>
            </w:r>
            <w:r>
              <w:rPr>
                <w:rFonts w:hint="eastAsia" w:ascii="宋体" w:hAnsi="宋体" w:eastAsia="宋体" w:cs="宋体"/>
                <w:color w:val="000000"/>
                <w:sz w:val="24"/>
                <w:highlight w:val="none"/>
              </w:rPr>
              <w:t xml:space="preserve">）；</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或采购代理机构的实际查询时间；</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一并保存；</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2-2</w:t>
            </w:r>
            <w:r/>
          </w:p>
        </w:tc>
        <w:tc>
          <w:tcPr>
            <w:tcW w:w="1066" w:type="dxa"/>
            <w:vAlign w:val="center"/>
            <w:textDirection w:val="lrTb"/>
            <w:noWrap w:val="false"/>
          </w:tcPr>
          <w:p>
            <w:pPr>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4"/>
                <w:szCs w:val="24"/>
                <w:highlight w:val="none"/>
              </w:rPr>
              <w:t xml:space="preserve">中小企业声明函</w:t>
            </w:r>
            <w:r/>
          </w:p>
        </w:tc>
        <w:tc>
          <w:tcPr>
            <w:tcW w:w="2595" w:type="dxa"/>
            <w:vAlign w:val="center"/>
            <w:textDirection w:val="lrTb"/>
            <w:noWrap w:val="false"/>
          </w:tcPr>
          <w:p>
            <w:pPr>
              <w:tabs>
                <w:tab w:val="left" w:pos="10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4"/>
                <w:szCs w:val="24"/>
                <w:highlight w:val="none"/>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p>
        </w:tc>
        <w:tc>
          <w:tcPr>
            <w:tcW w:w="106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7"/>
            <w:r/>
            <w:r/>
          </w:p>
        </w:tc>
      </w:tr>
    </w:tbl>
    <w:p>
      <w:pPr>
        <w:jc w:val="left"/>
        <w:widowControl/>
        <w:rPr>
          <w:rFonts w:hint="eastAsia" w:ascii="宋体" w:hAnsi="宋体" w:eastAsia="宋体" w:cs="宋体"/>
          <w:color w:val="000000"/>
          <w:sz w:val="24"/>
          <w:highlight w:val="none"/>
        </w:rPr>
      </w:pPr>
      <w:r/>
      <w:bookmarkStart w:id="730" w:name="_Toc127161490"/>
      <w:r/>
      <w:bookmarkStart w:id="731" w:name="_Toc226965858"/>
      <w:r/>
      <w:bookmarkStart w:id="732" w:name="_Toc353873940"/>
      <w:r/>
      <w:bookmarkStart w:id="733" w:name="_Toc353825550"/>
      <w:r/>
      <w:bookmarkStart w:id="734" w:name="_Toc127151779"/>
      <w:r>
        <w:rPr>
          <w:rFonts w:hint="eastAsia" w:ascii="宋体" w:hAnsi="宋体" w:eastAsia="宋体" w:cs="宋体"/>
          <w:color w:val="000000"/>
          <w:sz w:val="24"/>
          <w:highlight w:val="none"/>
        </w:rPr>
        <w:br w:type="page" w:clear="all"/>
      </w:r>
      <w:r/>
    </w:p>
    <w:p>
      <w:pPr>
        <w:jc w:val="center"/>
        <w:spacing w:line="360" w:lineRule="auto"/>
        <w:rPr>
          <w:rFonts w:hint="eastAsia" w:ascii="宋体" w:hAnsi="宋体" w:eastAsia="宋体" w:cs="宋体"/>
          <w:b/>
          <w:color w:val="000000"/>
          <w:sz w:val="36"/>
          <w:szCs w:val="36"/>
          <w:highlight w:val="none"/>
        </w:rPr>
        <w:outlineLvl w:val="0"/>
      </w:pPr>
      <w:r/>
      <w:bookmarkStart w:id="735" w:name="_Toc99301423"/>
      <w:r/>
      <w:bookmarkStart w:id="736" w:name="_Toc5039"/>
      <w:r>
        <w:rPr>
          <w:rFonts w:hint="eastAsia" w:ascii="宋体" w:hAnsi="宋体" w:eastAsia="宋体" w:cs="宋体"/>
          <w:b/>
          <w:color w:val="000000"/>
          <w:sz w:val="36"/>
          <w:szCs w:val="36"/>
          <w:highlight w:val="none"/>
        </w:rPr>
        <w:t xml:space="preserve">第四章   </w:t>
      </w:r>
      <w:bookmarkEnd w:id="730"/>
      <w:r/>
      <w:bookmarkEnd w:id="731"/>
      <w:r/>
      <w:bookmarkEnd w:id="732"/>
      <w:r/>
      <w:bookmarkEnd w:id="733"/>
      <w:r/>
      <w:bookmarkEnd w:id="734"/>
      <w:r/>
      <w:bookmarkStart w:id="737" w:name="_Hlt164229061"/>
      <w:r/>
      <w:bookmarkEnd w:id="737"/>
      <w:r>
        <w:rPr>
          <w:rFonts w:hint="eastAsia" w:ascii="宋体" w:hAnsi="宋体" w:eastAsia="宋体" w:cs="宋体"/>
          <w:b/>
          <w:color w:val="000000"/>
          <w:sz w:val="36"/>
          <w:szCs w:val="36"/>
          <w:highlight w:val="none"/>
        </w:rPr>
        <w:t xml:space="preserve">评标程序、评标方法和评标标准</w:t>
      </w:r>
      <w:bookmarkEnd w:id="735"/>
      <w:r/>
      <w:bookmarkEnd w:id="736"/>
      <w:r/>
      <w:r/>
    </w:p>
    <w:p>
      <w:pPr>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p>
    <w:p>
      <w:pPr>
        <w:numPr>
          <w:ilvl w:val="0"/>
          <w:numId w:val="12"/>
        </w:numPr>
        <w:ind w:left="0" w:firstLine="482"/>
        <w:spacing w:line="360" w:lineRule="auto"/>
        <w:tabs>
          <w:tab w:val="left" w:pos="360" w:leader="none"/>
          <w:tab w:val="left" w:pos="851" w:leader="none"/>
        </w:tabs>
        <w:rPr>
          <w:rFonts w:hint="eastAsia" w:ascii="宋体" w:hAnsi="宋体" w:eastAsia="宋体" w:cs="宋体"/>
          <w:b/>
          <w:color w:val="000000"/>
          <w:sz w:val="24"/>
          <w:highlight w:val="none"/>
        </w:rPr>
        <w:outlineLvl w:val="1"/>
      </w:pPr>
      <w:r/>
      <w:bookmarkStart w:id="738" w:name="_Toc265228379"/>
      <w:r/>
      <w:bookmarkStart w:id="739" w:name="_Toc164229236"/>
      <w:r/>
      <w:bookmarkStart w:id="740" w:name="_Toc151193783"/>
      <w:r/>
      <w:bookmarkStart w:id="741" w:name="_Toc150774746"/>
      <w:r/>
      <w:bookmarkStart w:id="742" w:name="_Toc127161455"/>
      <w:r/>
      <w:bookmarkStart w:id="743" w:name="_Toc151190168"/>
      <w:r/>
      <w:bookmarkStart w:id="744" w:name="_Toc305158883"/>
      <w:r/>
      <w:bookmarkStart w:id="745" w:name="_Toc164608810"/>
      <w:r/>
      <w:bookmarkStart w:id="746" w:name="_Toc150774641"/>
      <w:r/>
      <w:bookmarkStart w:id="747" w:name="_Toc164351635"/>
      <w:r/>
      <w:bookmarkStart w:id="748" w:name="_Toc226309785"/>
      <w:r/>
      <w:bookmarkStart w:id="749" w:name="_Toc226965731"/>
      <w:r/>
      <w:bookmarkStart w:id="750" w:name="_Toc150509292"/>
      <w:r/>
      <w:bookmarkStart w:id="751" w:name="_Toc264969231"/>
      <w:r/>
      <w:bookmarkStart w:id="752" w:name="_Toc226965814"/>
      <w:r/>
      <w:bookmarkStart w:id="753" w:name="_Toc142311043"/>
      <w:r/>
      <w:bookmarkStart w:id="754" w:name="_Toc164229382"/>
      <w:r/>
      <w:bookmarkStart w:id="755" w:name="_Toc164608655"/>
      <w:r/>
      <w:bookmarkStart w:id="756" w:name="_Toc151193711"/>
      <w:r/>
      <w:bookmarkStart w:id="757" w:name="_Toc150480779"/>
      <w:r/>
      <w:bookmarkStart w:id="758" w:name="_Toc151193929"/>
      <w:r/>
      <w:bookmarkStart w:id="759" w:name="_Toc226337237"/>
      <w:r/>
      <w:bookmarkStart w:id="760" w:name="_Toc151193639"/>
      <w:r/>
      <w:bookmarkStart w:id="761" w:name="_Toc127151742"/>
      <w:r/>
      <w:bookmarkStart w:id="762" w:name="_Toc151193855"/>
      <w:r/>
      <w:bookmarkStart w:id="763" w:name="_Toc195842906"/>
      <w:r/>
      <w:bookmarkStart w:id="764" w:name="_Toc149720834"/>
      <w:r/>
      <w:bookmarkStart w:id="765" w:name="_Toc127151541"/>
      <w:r/>
      <w:bookmarkStart w:id="766" w:name="_Toc305158809"/>
      <w:r/>
      <w:bookmarkStart w:id="767" w:name="_Toc353825551"/>
      <w:r/>
      <w:bookmarkStart w:id="768" w:name="_Toc353873941"/>
      <w:r/>
      <w:bookmarkStart w:id="769" w:name="_Toc127151555"/>
      <w:r/>
      <w:bookmarkStart w:id="770" w:name="_Toc226337251"/>
      <w:r/>
      <w:bookmarkStart w:id="771" w:name="_Toc264969245"/>
      <w:r/>
      <w:bookmarkStart w:id="772" w:name="_Toc265228393"/>
      <w:r/>
      <w:bookmarkStart w:id="773" w:name="_Toc226965828"/>
      <w:r/>
      <w:bookmarkStart w:id="774" w:name="_Toc195842920"/>
      <w:r/>
      <w:bookmarkStart w:id="775" w:name="_Toc353873935"/>
      <w:r/>
      <w:bookmarkStart w:id="776" w:name="_Toc353873665"/>
      <w:r/>
      <w:bookmarkStart w:id="777" w:name="_Toc150774760"/>
      <w:r/>
      <w:bookmarkStart w:id="778" w:name="_Toc305158823"/>
      <w:r/>
      <w:bookmarkStart w:id="779" w:name="_Toc353825545"/>
      <w:r/>
      <w:bookmarkStart w:id="780" w:name="_Toc142311057"/>
      <w:r/>
      <w:bookmarkStart w:id="781" w:name="_Toc305158897"/>
      <w:r/>
      <w:bookmarkStart w:id="782" w:name="_Toc150480793"/>
      <w:r>
        <w:rPr>
          <w:rFonts w:hint="eastAsia" w:ascii="宋体" w:hAnsi="宋体" w:eastAsia="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
    </w:p>
    <w:p>
      <w:pPr>
        <w:numPr>
          <w:ilvl w:val="1"/>
          <w:numId w:val="12"/>
        </w:numPr>
        <w:ind w:left="0" w:firstLine="480"/>
        <w:spacing w:line="360" w:lineRule="auto"/>
        <w:tabs>
          <w:tab w:val="left" w:pos="99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
    </w:p>
    <w:p>
      <w:pPr>
        <w:numPr>
          <w:ilvl w:val="1"/>
          <w:numId w:val="12"/>
        </w:numPr>
        <w:ind w:left="0" w:firstLine="480"/>
        <w:spacing w:line="360" w:lineRule="auto"/>
        <w:tabs>
          <w:tab w:val="left" w:pos="99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7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4"/>
        <w:gridCol w:w="7138"/>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620"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投标函、法定代表人资格证明书、授权委托书和政府采购</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信用承诺书</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按招标文件要求提供投标函、法定代表人资格证明书、授权委托书和政府采购</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信用承诺书；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（三）不同投标人的投标文件载明的项目管理成员或者联系人员为同一人；</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（四）不同投标人的投标文件异常一致或者投标报价呈规律 性差异；</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（五）不同投标人的投标文件相互混装；</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p>
        </w:tc>
        <w:tc>
          <w:tcPr>
            <w:tcW w:w="97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620"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eastAsia="宋体" w:cs="宋体"/>
          <w:color w:val="000000"/>
          <w:sz w:val="2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highlight w:val="none"/>
        </w:rPr>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u w:val="single"/>
        </w:rPr>
        <w:t xml:space="preserve">20</w:t>
      </w:r>
      <w:r>
        <w:rPr>
          <w:rFonts w:hint="eastAsia" w:ascii="宋体" w:hAnsi="宋体" w:eastAsia="宋体" w:cs="宋体"/>
          <w:color w:val="000000"/>
          <w:sz w:val="24"/>
          <w:highlight w:val="none"/>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价格扣除比例对小型企业和微型企业同等对待，不作区分。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投标文件的比较和评价</w:t>
      </w:r>
      <w:bookmarkEnd w:id="767"/>
      <w:r/>
      <w:bookmarkEnd w:id="768"/>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或者</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关于无线局域网认证产品政府采购清单中的产品，优先采购的具体规定（如涉及）</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确定</w:t>
      </w:r>
      <w:bookmarkStart w:id="784" w:name="_Toc151190173"/>
      <w:r/>
      <w:bookmarkStart w:id="785" w:name="_Toc151193644"/>
      <w:r/>
      <w:bookmarkStart w:id="786" w:name="_Toc127161460"/>
      <w:r/>
      <w:bookmarkStart w:id="787" w:name="_Toc164229387"/>
      <w:r/>
      <w:bookmarkStart w:id="788" w:name="_Toc195842911"/>
      <w:r/>
      <w:bookmarkStart w:id="789" w:name="_Toc149720839"/>
      <w:r/>
      <w:bookmarkStart w:id="790" w:name="_Toc226337242"/>
      <w:r/>
      <w:bookmarkStart w:id="791" w:name="_Toc142311048"/>
      <w:r/>
      <w:bookmarkStart w:id="792" w:name="_Toc164351640"/>
      <w:r/>
      <w:bookmarkStart w:id="793" w:name="_Toc151193788"/>
      <w:r/>
      <w:bookmarkStart w:id="794" w:name="_Toc151193934"/>
      <w:r/>
      <w:bookmarkStart w:id="795" w:name="_Toc520356170"/>
      <w:r/>
      <w:bookmarkStart w:id="796" w:name="_Toc150774646"/>
      <w:r/>
      <w:bookmarkStart w:id="797" w:name="_Toc150509297"/>
      <w:r/>
      <w:bookmarkStart w:id="798" w:name="_Toc127151747"/>
      <w:r/>
      <w:bookmarkStart w:id="799" w:name="_Toc265228384"/>
      <w:r/>
      <w:bookmarkStart w:id="800" w:name="_Toc226309790"/>
      <w:r/>
      <w:bookmarkStart w:id="801" w:name="_Toc164229241"/>
      <w:r/>
      <w:bookmarkStart w:id="802" w:name="_Toc226965736"/>
      <w:r/>
      <w:bookmarkStart w:id="803" w:name="_Toc151193716"/>
      <w:r/>
      <w:bookmarkStart w:id="804" w:name="_Toc150480784"/>
      <w:r/>
      <w:bookmarkStart w:id="805" w:name="_Toc164608660"/>
      <w:r/>
      <w:bookmarkStart w:id="806" w:name="_Toc127151546"/>
      <w:r/>
      <w:bookmarkStart w:id="807" w:name="_Toc226965819"/>
      <w:r/>
      <w:bookmarkStart w:id="808" w:name="_Toc305158814"/>
      <w:r/>
      <w:bookmarkStart w:id="809" w:name="_Ref467307010"/>
      <w:r/>
      <w:bookmarkStart w:id="810" w:name="_Toc264969236"/>
      <w:r/>
      <w:bookmarkStart w:id="811" w:name="_Toc164608815"/>
      <w:r/>
      <w:bookmarkStart w:id="812" w:name="_Toc151193860"/>
      <w:r/>
      <w:bookmarkStart w:id="813" w:name="_Toc150774751"/>
      <w:r/>
      <w:bookmarkStart w:id="814" w:name="_Toc305158888"/>
      <w:r>
        <w:rPr>
          <w:rFonts w:hint="eastAsia" w:ascii="宋体" w:hAnsi="宋体" w:eastAsia="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28"/>
        <w:ind w:firstLine="480"/>
        <w:spacing w:line="360" w:lineRule="auto"/>
        <w:tabs>
          <w:tab w:val="left" w:pos="0" w:leader="none"/>
          <w:tab w:val="left" w:pos="567" w:leader="none"/>
          <w:tab w:val="left" w:pos="2127" w:leader="none"/>
        </w:tabs>
        <w:rPr>
          <w:rFonts w:ascii="宋体" w:hAnsi="宋体" w:eastAsia="宋体" w:cs="宋体"/>
          <w:color w:val="000000"/>
          <w:sz w:val="24"/>
          <w:szCs w:val="24"/>
          <w:highlight w:val="none"/>
        </w:rPr>
      </w:pPr>
      <w:r>
        <w:rPr>
          <w:rFonts w:ascii="宋体" w:hAnsi="宋体" w:eastAsia="宋体" w:cs="宋体"/>
          <w:color w:val="000000"/>
          <w:sz w:val="24"/>
          <w:highlight w:val="none"/>
        </w:rPr>
        <w:t xml:space="preserve">■</w:t>
      </w:r>
      <w:r>
        <w:rPr>
          <w:rFonts w:ascii="宋体" w:hAnsi="宋体" w:eastAsia="宋体" w:cs="宋体"/>
          <w:color w:val="000000"/>
          <w:sz w:val="24"/>
          <w:szCs w:val="24"/>
          <w:highlight w:val="none"/>
        </w:rPr>
        <w:t xml:space="preserve">随机抽取</w:t>
      </w:r>
      <w:r/>
    </w:p>
    <w:p>
      <w:pPr>
        <w:pStyle w:val="1028"/>
        <w:ind w:firstLine="480"/>
        <w:spacing w:line="360" w:lineRule="auto"/>
        <w:tabs>
          <w:tab w:val="left" w:pos="0" w:leader="none"/>
          <w:tab w:val="left" w:pos="567" w:leader="none"/>
          <w:tab w:val="left" w:pos="2127"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□其他方式，具体要求：</w:t>
      </w:r>
      <w:r>
        <w:rPr>
          <w:rFonts w:ascii="宋体" w:hAnsi="宋体" w:eastAsia="宋体" w:cs="宋体"/>
          <w:color w:val="000000"/>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、采购代理机构或者有关部门报告的职责。</w:t>
      </w:r>
      <w:r/>
    </w:p>
    <w:p>
      <w:pPr>
        <w:jc w:val="left"/>
        <w:spacing w:line="24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br w:type="page" w:clear="all"/>
      </w:r>
      <w:r/>
    </w:p>
    <w:p>
      <w:pPr>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二、评标标准</w:t>
      </w:r>
      <w:r/>
    </w:p>
    <w:tbl>
      <w:tblPr>
        <w:tblStyle w:val="777"/>
        <w:tblW w:w="4998" w:type="pct"/>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218"/>
        <w:gridCol w:w="771"/>
        <w:gridCol w:w="5312"/>
        <w:gridCol w:w="1873"/>
      </w:tblGrid>
      <w:tr>
        <w:trPr/>
        <w:tc>
          <w:tcPr>
            <w:tcW w:w="785" w:type="dxa"/>
            <w:vAlign w:val="center"/>
            <w:textDirection w:val="lrTb"/>
            <w:noWrap w:val="false"/>
          </w:tcPr>
          <w:p>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218" w:type="dxa"/>
            <w:vAlign w:val="center"/>
            <w:textDirection w:val="lrTb"/>
            <w:noWrap w:val="false"/>
          </w:tcPr>
          <w:p>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p>
        </w:tc>
        <w:tc>
          <w:tcPr>
            <w:tcW w:w="771" w:type="dxa"/>
            <w:vAlign w:val="center"/>
            <w:textDirection w:val="lrTb"/>
            <w:noWrap w:val="false"/>
          </w:tcPr>
          <w:p>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c>
          <w:tcPr>
            <w:tcW w:w="5313" w:type="dxa"/>
            <w:vAlign w:val="center"/>
            <w:textDirection w:val="lrTb"/>
            <w:noWrap w:val="false"/>
          </w:tcPr>
          <w:p>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p>
        </w:tc>
        <w:tc>
          <w:tcPr>
            <w:tcW w:w="187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p>
        </w:tc>
      </w:tr>
      <w:tr>
        <w:trPr>
          <w:trHeight w:val="132"/>
        </w:trPr>
        <w:tc>
          <w:tcPr>
            <w:gridSpan w:val="5"/>
            <w:tcW w:w="9960" w:type="dxa"/>
            <w:vAlign w:val="center"/>
            <w:textDirection w:val="lrTb"/>
            <w:noWrap w:val="false"/>
          </w:tcPr>
          <w:p>
            <w:pPr>
              <w:ind w:left="-38"/>
              <w:jc w:val="lef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一、价格部分（30分）</w:t>
            </w:r>
            <w:r/>
          </w:p>
        </w:tc>
      </w:tr>
      <w:tr>
        <w:trPr>
          <w:trHeight w:val="631"/>
        </w:trPr>
        <w:tc>
          <w:tcPr>
            <w:tcW w:w="785" w:type="dxa"/>
            <w:vAlign w:val="center"/>
            <w:textDirection w:val="lrTb"/>
            <w:noWrap w:val="false"/>
          </w:tcPr>
          <w:p>
            <w:pPr>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1218"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c>
          <w:tcPr>
            <w:tcW w:w="5313" w:type="dxa"/>
            <w:vAlign w:val="center"/>
            <w:textDirection w:val="lrTb"/>
            <w:noWrap w:val="false"/>
          </w:tcPr>
          <w:p>
            <w:pPr>
              <w:pStyle w:val="1246"/>
              <w:numPr>
                <w:ilvl w:val="0"/>
                <w:numId w:val="0"/>
              </w:numPr>
              <w:ind w:right="11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满足招标文件要求且投标价格最低的投标报价为评标基准价，其价格分为满分。其他投标人的价格分统一按照下列公式计算：</w:t>
            </w:r>
            <w:r/>
          </w:p>
          <w:p>
            <w:pPr>
              <w:pStyle w:val="1246"/>
              <w:numPr>
                <w:ilvl w:val="0"/>
                <w:numId w:val="0"/>
              </w:numPr>
              <w:ind w:right="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投标报价得分＝（评标基准价/投标报价）×分值。</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p>
        </w:tc>
      </w:tr>
      <w:tr>
        <w:trPr>
          <w:trHeight w:val="90"/>
        </w:trPr>
        <w:tc>
          <w:tcPr>
            <w:gridSpan w:val="5"/>
            <w:tcW w:w="9960" w:type="dxa"/>
            <w:vAlign w:val="center"/>
            <w:textDirection w:val="lrTb"/>
            <w:noWrap w:val="false"/>
          </w:tcPr>
          <w:p>
            <w:pPr>
              <w:ind w:left="-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部分（</w:t>
            </w:r>
            <w:r>
              <w:rPr>
                <w:rFonts w:hint="eastAsia" w:ascii="宋体" w:hAnsi="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分）</w:t>
            </w:r>
            <w:r/>
          </w:p>
        </w:tc>
      </w:tr>
      <w:tr>
        <w:trPr/>
        <w:tc>
          <w:tcPr>
            <w:tcW w:w="785"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1218"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技术响应带“▲”项</w:t>
            </w:r>
            <w:r/>
          </w:p>
        </w:tc>
        <w:tc>
          <w:tcPr>
            <w:tcW w:w="771"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21</w:t>
            </w:r>
            <w:r/>
          </w:p>
        </w:tc>
        <w:tc>
          <w:tcPr>
            <w:tcW w:w="5313" w:type="dxa"/>
            <w:vAlign w:val="top"/>
            <w:textDirection w:val="lrTb"/>
            <w:noWrap w:val="false"/>
          </w:tcPr>
          <w:p>
            <w:pPr>
              <w:pStyle w:val="1246"/>
              <w:numPr>
                <w:ilvl w:val="0"/>
                <w:numId w:val="0"/>
              </w:numPr>
              <w:ind w:right="110"/>
              <w:jc w:val="both"/>
              <w:spacing w:before="0" w:line="240" w:lineRule="auto"/>
              <w:rPr>
                <w:rFonts w:hint="eastAsia" w:ascii="宋体" w:hAnsi="宋体" w:eastAsia="宋体" w:cs="宋体"/>
                <w:color w:val="000000"/>
                <w:sz w:val="24"/>
                <w:szCs w:val="24"/>
                <w:highlight w:val="none"/>
                <w:lang w:val="en-US" w:eastAsia="zh-CN" w:bidi="ar-SA"/>
              </w:rPr>
            </w:pPr>
            <w:r>
              <w:rPr>
                <w:rFonts w:hint="eastAsia"/>
                <w:color w:val="000000"/>
                <w:spacing w:val="0"/>
                <w:highlight w:val="none"/>
                <w:lang w:eastAsia="zh-CN"/>
              </w:rPr>
              <w:t xml:space="preserve">依据投标人对采购需求中带“▲”项的响应情况进行评分。完全满足（共</w:t>
            </w:r>
            <w:r>
              <w:rPr>
                <w:rFonts w:hint="eastAsia"/>
                <w:color w:val="000000"/>
                <w:spacing w:val="0"/>
                <w:highlight w:val="none"/>
                <w:lang w:val="en-US" w:eastAsia="zh-CN"/>
              </w:rPr>
              <w:t xml:space="preserve">21</w:t>
            </w:r>
            <w:r>
              <w:rPr>
                <w:rFonts w:hint="eastAsia"/>
                <w:color w:val="000000"/>
                <w:spacing w:val="0"/>
                <w:highlight w:val="none"/>
                <w:lang w:eastAsia="zh-CN"/>
              </w:rPr>
              <w:t xml:space="preserve">项）得</w:t>
            </w:r>
            <w:r>
              <w:rPr>
                <w:rFonts w:hint="eastAsia"/>
                <w:color w:val="000000"/>
                <w:spacing w:val="0"/>
                <w:highlight w:val="none"/>
                <w:lang w:val="en-US" w:eastAsia="zh-CN"/>
              </w:rPr>
              <w:t xml:space="preserve">21</w:t>
            </w:r>
            <w:r>
              <w:rPr>
                <w:rFonts w:hint="eastAsia"/>
                <w:color w:val="000000"/>
                <w:spacing w:val="0"/>
                <w:highlight w:val="none"/>
                <w:lang w:eastAsia="zh-CN"/>
              </w:rPr>
              <w:t xml:space="preserve">分，每出现一处负偏离，扣</w:t>
            </w:r>
            <w:r>
              <w:rPr>
                <w:rFonts w:hint="eastAsia"/>
                <w:color w:val="000000"/>
                <w:spacing w:val="0"/>
                <w:highlight w:val="none"/>
                <w:lang w:val="en-US" w:eastAsia="zh-CN"/>
              </w:rPr>
              <w:t xml:space="preserve">1</w:t>
            </w:r>
            <w:r>
              <w:rPr>
                <w:rFonts w:hint="eastAsia"/>
                <w:color w:val="000000"/>
                <w:spacing w:val="0"/>
                <w:highlight w:val="none"/>
                <w:lang w:eastAsia="zh-CN"/>
              </w:rPr>
              <w:t xml:space="preserve">分。 注：采购需求中有要求提供证明材料的，以采购需求要求提供的材料为准；采购需求中未要求提供证明材料的，以投标人投标文件中的《技术和服务要求响应表》中偏离程度为准，未填写或负偏离或未按要求提供证明材料的视为不满足。</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85"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218"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技术响应非“▲”项</w:t>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9</w:t>
            </w:r>
            <w:r/>
          </w:p>
        </w:tc>
        <w:tc>
          <w:tcPr>
            <w:tcW w:w="5313" w:type="dxa"/>
            <w:vAlign w:val="top"/>
            <w:textDirection w:val="lrTb"/>
            <w:noWrap w:val="false"/>
          </w:tcPr>
          <w:p>
            <w:pPr>
              <w:pStyle w:val="1246"/>
              <w:numPr>
                <w:ilvl w:val="0"/>
                <w:numId w:val="0"/>
              </w:numPr>
              <w:ind w:right="110"/>
              <w:jc w:val="both"/>
              <w:spacing w:before="0" w:line="240" w:lineRule="auto"/>
              <w:rPr>
                <w:rFonts w:hint="eastAsia" w:ascii="宋体" w:hAnsi="宋体" w:eastAsia="宋体" w:cs="宋体"/>
                <w:color w:val="000000"/>
                <w:sz w:val="24"/>
                <w:szCs w:val="24"/>
                <w:highlight w:val="none"/>
                <w:lang w:val="en-US" w:eastAsia="zh-CN" w:bidi="ar-SA"/>
              </w:rPr>
            </w:pPr>
            <w:r>
              <w:rPr>
                <w:rFonts w:hint="eastAsia"/>
                <w:color w:val="000000"/>
                <w:spacing w:val="0"/>
                <w:highlight w:val="none"/>
                <w:lang w:eastAsia="zh-CN"/>
              </w:rPr>
              <w:t xml:space="preserve">依据投标人对采购需求中</w:t>
            </w:r>
            <w:r>
              <w:rPr>
                <w:rFonts w:hint="eastAsia"/>
                <w:color w:val="000000"/>
                <w:spacing w:val="0"/>
                <w:highlight w:val="none"/>
                <w:lang w:val="en-US" w:eastAsia="zh-CN"/>
              </w:rPr>
              <w:t xml:space="preserve">非</w:t>
            </w:r>
            <w:r>
              <w:rPr>
                <w:rFonts w:hint="eastAsia"/>
                <w:color w:val="000000"/>
                <w:spacing w:val="0"/>
                <w:highlight w:val="none"/>
                <w:lang w:eastAsia="zh-CN"/>
              </w:rPr>
              <w:t xml:space="preserve">“▲”项的响应情况进行评分。根据投标文件中技术规格说明及偏离表内容，投标人所投产品全部参数及要求完全满足招标文件的得</w:t>
            </w:r>
            <w:r>
              <w:rPr>
                <w:rFonts w:hint="eastAsia"/>
                <w:color w:val="000000"/>
                <w:spacing w:val="0"/>
                <w:highlight w:val="none"/>
                <w:lang w:val="en-US" w:eastAsia="zh-CN"/>
              </w:rPr>
              <w:t xml:space="preserve">9</w:t>
            </w:r>
            <w:r>
              <w:rPr>
                <w:rFonts w:hint="eastAsia"/>
                <w:color w:val="000000"/>
                <w:spacing w:val="0"/>
                <w:highlight w:val="none"/>
                <w:lang w:eastAsia="zh-CN"/>
              </w:rPr>
              <w:t xml:space="preserve">分，非“▲”参数不满足，每项扣</w:t>
            </w:r>
            <w:r>
              <w:rPr>
                <w:rFonts w:hint="eastAsia"/>
                <w:color w:val="000000"/>
                <w:spacing w:val="0"/>
                <w:highlight w:val="none"/>
                <w:lang w:val="en-US" w:eastAsia="zh-CN"/>
              </w:rPr>
              <w:t xml:space="preserve">1</w:t>
            </w:r>
            <w:r>
              <w:rPr>
                <w:rFonts w:hint="eastAsia"/>
                <w:color w:val="000000"/>
                <w:spacing w:val="0"/>
                <w:highlight w:val="none"/>
                <w:lang w:eastAsia="zh-CN"/>
              </w:rPr>
              <w:t xml:space="preserve">分，扣完即止。</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218"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视频演示</w:t>
            </w:r>
            <w:r/>
          </w:p>
        </w:tc>
        <w:tc>
          <w:tcPr>
            <w:tcW w:w="771"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11</w:t>
            </w:r>
            <w:r/>
          </w:p>
        </w:tc>
        <w:tc>
          <w:tcPr>
            <w:tcW w:w="5313" w:type="dxa"/>
            <w:vAlign w:val="center"/>
            <w:textDirection w:val="lrTb"/>
            <w:noWrap w:val="false"/>
          </w:tcPr>
          <w:p>
            <w:pPr>
              <w:pStyle w:val="1246"/>
              <w:numPr>
                <w:ilvl w:val="0"/>
                <w:numId w:val="0"/>
              </w:numPr>
              <w:ind w:right="110"/>
              <w:jc w:val="both"/>
              <w:spacing w:before="0" w:line="240" w:lineRule="auto"/>
              <w:rPr>
                <w:rFonts w:hint="eastAsia"/>
                <w:highlight w:val="none"/>
              </w:rPr>
            </w:pPr>
            <w:r>
              <w:rPr>
                <w:rFonts w:hint="eastAsia"/>
                <w:highlight w:val="none"/>
              </w:rPr>
              <w:t xml:space="preserve">1.机器人在实训台中能在不更换互换握爪的情况下完成不少于7 种机器人末端夹具抓取动作，投标供应商需提供不少于 7 种机器人末端夹具抓取动作录制视频，视频需为连续视频， 视频中需含有字幕与配音；演示视频中每抓取一种机器人末端夹爪得1 分，满分 7 分；</w:t>
            </w:r>
            <w:r/>
          </w:p>
          <w:p>
            <w:pPr>
              <w:pStyle w:val="1246"/>
              <w:numPr>
                <w:ilvl w:val="0"/>
                <w:numId w:val="0"/>
              </w:numPr>
              <w:ind w:right="110"/>
              <w:rPr>
                <w:rFonts w:hint="eastAsia" w:ascii="宋体" w:hAnsi="宋体" w:eastAsia="宋体" w:cs="宋体"/>
                <w:color w:val="000000"/>
                <w:sz w:val="24"/>
                <w:szCs w:val="24"/>
                <w:highlight w:val="none"/>
                <w:lang w:val="en-US" w:eastAsia="zh-CN" w:bidi="ar-SA"/>
              </w:rPr>
            </w:pPr>
            <w:r>
              <w:rPr>
                <w:rFonts w:hint="eastAsia"/>
                <w:highlight w:val="none"/>
              </w:rPr>
              <w:t xml:space="preserve">2.投标人提供膜片式卡盘夹具的具案例虚拟拆装演示，演示内容需包含以下功能模块：需包含结构认知学习模块、夹具拆装训练模块、考核拆装模块等。提供演示得 4 分，未提供不得分；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投标人必须以实际系统操作视频进行演示视频格式为MP4，供应商需压缩打包上传系统，若以PPT、截图、WORD、FLASH动画制作等非真实系统演示的，则该项不得分。</w:t>
            </w:r>
            <w:r/>
          </w:p>
        </w:tc>
      </w:tr>
      <w:tr>
        <w:trPr/>
        <w:tc>
          <w:tcPr>
            <w:tcW w:w="785" w:type="dxa"/>
            <w:vAlign w:val="center"/>
            <w:vMerge w:val="restart"/>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p>
        </w:tc>
        <w:tc>
          <w:tcPr>
            <w:tcW w:w="1218" w:type="dxa"/>
            <w:vAlign w:val="center"/>
            <w:vMerge w:val="restart"/>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企业综合实力及其它</w:t>
            </w:r>
            <w:r/>
          </w:p>
        </w:tc>
        <w:tc>
          <w:tcPr>
            <w:tcW w:w="771" w:type="dxa"/>
            <w:vAlign w:val="center"/>
            <w:textDirection w:val="lrTb"/>
            <w:noWrap w:val="false"/>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5313" w:type="dxa"/>
            <w:vAlign w:val="top"/>
            <w:textDirection w:val="lrTb"/>
            <w:noWrap w:val="false"/>
          </w:tcPr>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eastAsia="zh-CN"/>
              </w:rPr>
            </w:pPr>
            <w:r>
              <w:rPr>
                <w:rFonts w:hint="eastAsia"/>
                <w:color w:val="000000"/>
                <w:spacing w:val="0"/>
                <w:highlight w:val="none"/>
                <w:lang w:val="en-US" w:eastAsia="zh-CN"/>
              </w:rPr>
              <w:t xml:space="preserve">投标人参与并组织过夹具类国家级职业教育“双师型”教师培训，投标供应商需提供对应国家官网链接或者学校官网链接、现场培训图片及网站链接截图等证明图片，网站链接截图需标明投标供应商公司名称位置，并加盖公章。提供得3分，不提供不得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5313" w:type="dxa"/>
            <w:vAlign w:val="top"/>
            <w:textDirection w:val="lrTb"/>
            <w:noWrap w:val="false"/>
          </w:tcPr>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eastAsia="zh-CN"/>
              </w:rPr>
            </w:pPr>
            <w:r>
              <w:rPr>
                <w:rFonts w:hint="eastAsia"/>
                <w:color w:val="000000"/>
                <w:highlight w:val="none"/>
                <w:lang w:eastAsia="zh-CN"/>
              </w:rPr>
              <w:t xml:space="preserve">投标人提供所投产品相关的专利证书复印件并盖公章。每提供一个得0.5分，最高得5分；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W w:w="5313" w:type="dxa"/>
            <w:vAlign w:val="top"/>
            <w:textDirection w:val="lrTb"/>
            <w:noWrap w:val="false"/>
          </w:tcPr>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eastAsia="zh-CN"/>
              </w:rPr>
            </w:pPr>
            <w:r>
              <w:rPr>
                <w:rFonts w:hint="eastAsia"/>
                <w:color w:val="000000"/>
                <w:highlight w:val="none"/>
                <w:lang w:eastAsia="zh-CN"/>
              </w:rPr>
              <w:t xml:space="preserve">投标人参与相关教材开发并出版的教材，教材必须是结合教学实际需求，由教育专家或编写团队编写的，用于指导教师教学和学生学习的教育材料。投标供应商需提供已出版教材复印件并在教材中标明供应商所在位置。每提供一本得2分，最高得4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5313" w:type="dxa"/>
            <w:vAlign w:val="top"/>
            <w:textDirection w:val="lrTb"/>
            <w:noWrap w:val="false"/>
          </w:tcPr>
          <w:p>
            <w:pPr>
              <w:pStyle w:val="1246"/>
              <w:numPr>
                <w:ilvl w:val="0"/>
                <w:numId w:val="0"/>
              </w:numPr>
              <w:ind w:left="0" w:right="110" w:firstLine="0"/>
              <w:jc w:val="left"/>
              <w:spacing w:before="0" w:line="240" w:lineRule="auto"/>
              <w:rPr>
                <w:rFonts w:hint="eastAsia"/>
                <w:color w:val="000000"/>
                <w:spacing w:val="0"/>
                <w:highlight w:val="none"/>
                <w:lang w:eastAsia="zh-CN"/>
              </w:rPr>
            </w:pPr>
            <w:r>
              <w:rPr>
                <w:rFonts w:hint="eastAsia"/>
                <w:color w:val="000000"/>
                <w:spacing w:val="0"/>
                <w:highlight w:val="none"/>
                <w:lang w:eastAsia="zh-CN"/>
              </w:rPr>
              <w:t xml:space="preserve">投标文件中提供投标人为乙方，合同签订日期在2022年1月1日后，合同内容为本项目同类或相似项目的合同扫描件的。每份得1分。本项最高得</w:t>
            </w:r>
            <w:r>
              <w:rPr>
                <w:rFonts w:hint="eastAsia"/>
                <w:color w:val="000000"/>
                <w:spacing w:val="0"/>
                <w:highlight w:val="none"/>
                <w:lang w:val="en-US" w:eastAsia="zh-CN"/>
              </w:rPr>
              <w:t xml:space="preserve">5</w:t>
            </w:r>
            <w:r>
              <w:rPr>
                <w:rFonts w:hint="eastAsia"/>
                <w:color w:val="000000"/>
                <w:spacing w:val="0"/>
                <w:highlight w:val="none"/>
                <w:lang w:eastAsia="zh-CN"/>
              </w:rPr>
              <w:t xml:space="preserve">分；</w:t>
            </w:r>
            <w:r/>
          </w:p>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eastAsia="zh-CN"/>
              </w:rPr>
            </w:pPr>
            <w:r>
              <w:rPr>
                <w:rFonts w:hint="eastAsia"/>
                <w:color w:val="000000"/>
                <w:spacing w:val="0"/>
                <w:highlight w:val="none"/>
                <w:lang w:eastAsia="zh-CN"/>
              </w:rPr>
              <w:t xml:space="preserve">注：投标文件中提供业绩合同扫描件</w:t>
            </w:r>
            <w:r>
              <w:rPr>
                <w:rFonts w:hint="eastAsia"/>
                <w:color w:val="000000"/>
                <w:spacing w:val="0"/>
                <w:highlight w:val="none"/>
                <w:lang w:val="en-US" w:eastAsia="zh-CN"/>
              </w:rPr>
              <w:t xml:space="preserve">和</w:t>
            </w:r>
            <w:r>
              <w:rPr>
                <w:rFonts w:hint="eastAsia"/>
                <w:color w:val="000000"/>
                <w:spacing w:val="0"/>
                <w:highlight w:val="none"/>
                <w:lang w:eastAsia="zh-CN"/>
              </w:rPr>
              <w:t xml:space="preserve">中标通知书方为有效，不提供不得分。盖投标人公章，</w:t>
            </w:r>
            <w:r>
              <w:rPr>
                <w:rFonts w:hint="eastAsia"/>
                <w:color w:val="000000"/>
                <w:spacing w:val="0"/>
                <w:highlight w:val="none"/>
                <w:lang w:val="en-US" w:eastAsia="zh-CN"/>
              </w:rPr>
              <w:t xml:space="preserve">两者缺其一不计为业绩</w:t>
            </w:r>
            <w:r>
              <w:rPr>
                <w:rFonts w:hint="eastAsia"/>
                <w:color w:val="000000"/>
                <w:spacing w:val="0"/>
                <w:highlight w:val="none"/>
                <w:lang w:eastAsia="zh-CN"/>
              </w:rPr>
              <w:t xml:space="preserve">。</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5313" w:type="dxa"/>
            <w:vAlign w:val="top"/>
            <w:textDirection w:val="lrTb"/>
            <w:noWrap w:val="false"/>
          </w:tcPr>
          <w:p>
            <w:pPr>
              <w:pStyle w:val="1246"/>
              <w:numPr>
                <w:ilvl w:val="0"/>
                <w:numId w:val="0"/>
              </w:numPr>
              <w:ind w:left="0" w:right="110" w:firstLine="0"/>
              <w:jc w:val="left"/>
              <w:spacing w:before="0" w:line="240" w:lineRule="auto"/>
              <w:rPr>
                <w:rFonts w:hint="eastAsia"/>
                <w:color w:val="000000"/>
                <w:highlight w:val="none"/>
                <w:lang w:eastAsia="zh-CN"/>
              </w:rPr>
            </w:pPr>
            <w:r>
              <w:rPr>
                <w:rFonts w:hint="eastAsia"/>
                <w:color w:val="000000"/>
                <w:highlight w:val="none"/>
                <w:lang w:eastAsia="zh-CN"/>
              </w:rPr>
              <w:t xml:space="preserve">1.提供 ISO 9001 质量管理体系认证证书复印件及在国家认证认可监督管理委员会官方网站 (www.cnca.gov.cn)上查询真假截图并加盖投标供应商公章。提供得 1 分，不提供不得分； </w:t>
            </w:r>
            <w:r/>
          </w:p>
          <w:p>
            <w:pPr>
              <w:pStyle w:val="1246"/>
              <w:numPr>
                <w:ilvl w:val="0"/>
                <w:numId w:val="0"/>
              </w:numPr>
              <w:ind w:left="0" w:right="110" w:firstLine="0"/>
              <w:jc w:val="left"/>
              <w:spacing w:before="0" w:line="240" w:lineRule="auto"/>
              <w:rPr>
                <w:rFonts w:hint="eastAsia"/>
                <w:color w:val="000000"/>
                <w:highlight w:val="none"/>
                <w:lang w:eastAsia="zh-CN"/>
              </w:rPr>
            </w:pPr>
            <w:r>
              <w:rPr>
                <w:rFonts w:hint="eastAsia"/>
                <w:color w:val="000000"/>
                <w:highlight w:val="none"/>
                <w:lang w:eastAsia="zh-CN"/>
              </w:rPr>
              <w:t xml:space="preserve">2.提供 ISO 14001 环境管理体系认证证书复印件及在国家认证认可监督管理委员会官方网站 (www.cnca.gov.cn)上查询真假截图并加盖投标供应商公章。提供得 1 分，不提供不得分；  </w:t>
            </w:r>
            <w:r/>
          </w:p>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eastAsia="zh-CN"/>
              </w:rPr>
            </w:pPr>
            <w:r>
              <w:rPr>
                <w:rFonts w:hint="eastAsia"/>
                <w:color w:val="000000"/>
                <w:highlight w:val="none"/>
                <w:lang w:eastAsia="zh-CN"/>
              </w:rPr>
              <w:t xml:space="preserve">3.提供 ISO 45001 职业健康安全管理体系认证证书复印件及在国家认证认可监督管理委员会官方网站 (www.cnca.gov.cn)上查询真假截图并加盖投标供应商公章。提供得 1 分，不提供不得分； </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color w:val="000000"/>
                <w:spacing w:val="0"/>
                <w:highlight w:val="none"/>
                <w:lang w:val="en-US" w:eastAsia="zh-CN"/>
              </w:rPr>
              <w:t xml:space="preserve">注：证书可在国家认证认可监督管理委员会官方网站(www.cnca.gov.cn)上查询</w:t>
            </w:r>
            <w:r/>
          </w:p>
        </w:tc>
      </w:tr>
      <w:tr>
        <w:trPr>
          <w:trHeight w:val="288"/>
        </w:trPr>
        <w:tc>
          <w:tcPr>
            <w:gridSpan w:val="5"/>
            <w:tcW w:w="9960" w:type="dxa"/>
            <w:vAlign w:val="center"/>
            <w:textDirection w:val="lrTb"/>
            <w:noWrap w:val="false"/>
          </w:tcPr>
          <w:p>
            <w:pPr>
              <w:ind w:left="-3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部分（</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r>
      <w:tr>
        <w:trPr/>
        <w:tc>
          <w:tcPr>
            <w:tcW w:w="785"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W w:w="1218" w:type="dxa"/>
            <w:vAlign w:val="center"/>
            <w:textDirection w:val="lrTb"/>
            <w:noWrap w:val="false"/>
          </w:tcPr>
          <w:p>
            <w:pPr>
              <w:ind w:firstLine="28"/>
              <w:jc w:val="center"/>
              <w:rPr>
                <w:rFonts w:hint="default" w:ascii="宋体" w:hAnsi="宋体" w:eastAsia="宋体" w:cs="宋体"/>
                <w:color w:val="000000"/>
                <w:sz w:val="24"/>
                <w:szCs w:val="24"/>
                <w:highlight w:val="none"/>
                <w:lang w:val="en-US"/>
              </w:rPr>
            </w:pPr>
            <w:r>
              <w:rPr>
                <w:rFonts w:hint="eastAsia"/>
                <w:color w:val="000000"/>
                <w:spacing w:val="0"/>
                <w:highlight w:val="none"/>
                <w:lang w:val="en-US" w:eastAsia="zh-CN"/>
              </w:rPr>
              <w:t xml:space="preserve">质量保证方案</w:t>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5313" w:type="dxa"/>
            <w:vAlign w:val="center"/>
            <w:textDirection w:val="lrTb"/>
            <w:noWrap w:val="false"/>
          </w:tcPr>
          <w:p>
            <w:pPr>
              <w:pStyle w:val="1246"/>
              <w:numPr>
                <w:ilvl w:val="0"/>
                <w:numId w:val="0"/>
              </w:numPr>
              <w:ind w:right="110"/>
              <w:jc w:val="left"/>
              <w:rPr>
                <w:rFonts w:hint="eastAsia" w:ascii="宋体" w:hAnsi="宋体" w:eastAsia="宋体" w:cs="宋体"/>
                <w:color w:val="000000"/>
                <w:sz w:val="24"/>
                <w:szCs w:val="24"/>
                <w:highlight w:val="none"/>
                <w:lang w:eastAsia="zh-CN"/>
              </w:rPr>
            </w:pPr>
            <w:r>
              <w:rPr>
                <w:rFonts w:hint="eastAsia"/>
                <w:color w:val="000000"/>
                <w:highlight w:val="none"/>
                <w:lang w:eastAsia="zh-CN"/>
              </w:rPr>
              <w:t xml:space="preserve">质量保证：对照项目需求，投标人需提供“质量保证措施”，对内容进行综合评审：1、有详细、合理可行的保证措施，满足采购需求的，得 3 分；2、有一定的保证措施，基本满足采购需求的得 1 分；3、无提供不得分。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restart"/>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p>
        </w:tc>
        <w:tc>
          <w:tcPr>
            <w:tcW w:w="1218" w:type="dxa"/>
            <w:vAlign w:val="center"/>
            <w:vMerge w:val="restart"/>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售后服务方案</w:t>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shd w:val="clear" w:color="auto" w:fill="auto"/>
            <w:tcW w:w="5313" w:type="dxa"/>
            <w:vAlign w:val="top"/>
            <w:textDirection w:val="lrTb"/>
            <w:noWrap w:val="false"/>
          </w:tcPr>
          <w:p>
            <w:pPr>
              <w:pStyle w:val="1246"/>
              <w:numPr>
                <w:ilvl w:val="0"/>
                <w:numId w:val="0"/>
              </w:numPr>
              <w:ind w:right="110"/>
              <w:jc w:val="left"/>
              <w:spacing w:before="0" w:line="240" w:lineRule="auto"/>
              <w:rPr>
                <w:rFonts w:hint="eastAsia" w:ascii="宋体" w:hAnsi="宋体" w:eastAsia="宋体" w:cs="宋体"/>
                <w:color w:val="000000"/>
                <w:sz w:val="24"/>
                <w:szCs w:val="24"/>
                <w:highlight w:val="none"/>
                <w:lang w:val="en-US" w:eastAsia="zh-CN" w:bidi="ar-SA"/>
              </w:rPr>
            </w:pPr>
            <w:r>
              <w:rPr>
                <w:rFonts w:hint="eastAsia"/>
                <w:color w:val="000000"/>
                <w:spacing w:val="0"/>
                <w:highlight w:val="none"/>
                <w:lang w:eastAsia="zh-CN"/>
              </w:rPr>
              <w:t xml:space="preserve">根据投标人提供售后服务方案（包括但不限于质保期、服务响应速度等的服务承诺）进行评审： 1、售后服务方案内容完善，各阶段服务计划详尽，质保期、维护保养期服务（包括费用）承诺可靠、具体，得</w:t>
            </w:r>
            <w:r>
              <w:rPr>
                <w:rFonts w:hint="eastAsia"/>
                <w:color w:val="000000"/>
                <w:spacing w:val="0"/>
                <w:highlight w:val="none"/>
                <w:lang w:val="en-US" w:eastAsia="zh-CN"/>
              </w:rPr>
              <w:t xml:space="preserve">2</w:t>
            </w:r>
            <w:r>
              <w:rPr>
                <w:rFonts w:hint="eastAsia"/>
                <w:color w:val="000000"/>
                <w:spacing w:val="0"/>
                <w:highlight w:val="none"/>
                <w:lang w:eastAsia="zh-CN"/>
              </w:rPr>
              <w:t xml:space="preserve">分。 2、售后服务方案内容基本完善，各阶段服务计划基本完整，质保期、维护保养期服务（包括费用）承诺有一定的可靠性，得</w:t>
            </w:r>
            <w:r>
              <w:rPr>
                <w:rFonts w:hint="eastAsia"/>
                <w:color w:val="000000"/>
                <w:spacing w:val="0"/>
                <w:highlight w:val="none"/>
                <w:lang w:val="en-US" w:eastAsia="zh-CN"/>
              </w:rPr>
              <w:t xml:space="preserve">1</w:t>
            </w:r>
            <w:r>
              <w:rPr>
                <w:rFonts w:hint="eastAsia"/>
                <w:color w:val="000000"/>
                <w:spacing w:val="0"/>
                <w:highlight w:val="none"/>
                <w:lang w:eastAsia="zh-CN"/>
              </w:rPr>
              <w:t xml:space="preserve">分。 3、售后服务方案内容部分完整，各阶段服务计划部分完整，质保期、维护保养期服务（包括费用）承诺基本可靠，得</w:t>
            </w:r>
            <w:r>
              <w:rPr>
                <w:rFonts w:hint="eastAsia"/>
                <w:color w:val="000000"/>
                <w:spacing w:val="0"/>
                <w:highlight w:val="none"/>
                <w:lang w:val="en-US" w:eastAsia="zh-CN"/>
              </w:rPr>
              <w:t xml:space="preserve">0.5</w:t>
            </w:r>
            <w:r>
              <w:rPr>
                <w:rFonts w:hint="eastAsia"/>
                <w:color w:val="000000"/>
                <w:spacing w:val="0"/>
                <w:highlight w:val="none"/>
                <w:lang w:eastAsia="zh-CN"/>
              </w:rPr>
              <w:t xml:space="preserve">分。</w:t>
            </w:r>
            <w:r>
              <w:rPr>
                <w:rFonts w:hint="eastAsia"/>
                <w:color w:val="000000"/>
                <w:spacing w:val="0"/>
                <w:highlight w:val="none"/>
                <w:lang w:val="en-US" w:eastAsia="zh-CN"/>
              </w:rPr>
              <w:t xml:space="preserve">4</w:t>
            </w:r>
            <w:r>
              <w:rPr>
                <w:rFonts w:hint="eastAsia"/>
                <w:color w:val="000000"/>
                <w:spacing w:val="0"/>
                <w:highlight w:val="none"/>
                <w:lang w:eastAsia="zh-CN"/>
              </w:rPr>
              <w:t xml:space="preserve">、不提供不得分。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shd w:val="clear" w:color="auto" w:fill="auto"/>
            <w:tcW w:w="5313" w:type="dxa"/>
            <w:vAlign w:val="top"/>
            <w:textDirection w:val="lrTb"/>
            <w:noWrap w:val="false"/>
          </w:tcPr>
          <w:p>
            <w:pPr>
              <w:pStyle w:val="1246"/>
              <w:numPr>
                <w:ilvl w:val="0"/>
                <w:numId w:val="0"/>
              </w:numPr>
              <w:ind w:right="110"/>
              <w:jc w:val="left"/>
              <w:spacing w:before="0" w:line="240" w:lineRule="auto"/>
              <w:rPr>
                <w:rFonts w:hint="eastAsia" w:ascii="宋体" w:hAnsi="宋体" w:eastAsia="宋体" w:cs="宋体"/>
                <w:color w:val="000000"/>
                <w:sz w:val="24"/>
                <w:szCs w:val="24"/>
                <w:highlight w:val="none"/>
                <w:lang w:val="en-US" w:eastAsia="zh-CN" w:bidi="ar-SA"/>
              </w:rPr>
            </w:pPr>
            <w:r>
              <w:rPr>
                <w:rFonts w:hint="eastAsia"/>
                <w:color w:val="000000"/>
                <w:spacing w:val="0"/>
                <w:highlight w:val="none"/>
                <w:lang w:eastAsia="zh-CN"/>
              </w:rPr>
              <w:t xml:space="preserve">方案比较有确保项目组织实施的技术力量，提供团队成员的履历、经验</w:t>
            </w:r>
            <w:r>
              <w:rPr>
                <w:rFonts w:hint="eastAsia"/>
                <w:color w:val="000000"/>
                <w:spacing w:val="0"/>
                <w:highlight w:val="none"/>
                <w:lang w:val="en-US" w:eastAsia="zh-CN"/>
              </w:rPr>
              <w:t xml:space="preserve">或者提供当地售后服务保证</w:t>
            </w:r>
            <w:r>
              <w:rPr>
                <w:rFonts w:hint="eastAsia"/>
                <w:color w:val="000000"/>
                <w:spacing w:val="0"/>
                <w:highlight w:val="none"/>
                <w:lang w:eastAsia="zh-CN"/>
              </w:rPr>
              <w:t xml:space="preserve">，优的得</w:t>
            </w:r>
            <w:r>
              <w:rPr>
                <w:rFonts w:hint="eastAsia"/>
                <w:color w:val="000000"/>
                <w:spacing w:val="0"/>
                <w:highlight w:val="none"/>
                <w:lang w:val="en-US" w:eastAsia="zh-CN"/>
              </w:rPr>
              <w:t xml:space="preserve">2</w:t>
            </w:r>
            <w:r>
              <w:rPr>
                <w:rFonts w:hint="eastAsia"/>
                <w:color w:val="000000"/>
                <w:spacing w:val="0"/>
                <w:highlight w:val="none"/>
                <w:lang w:eastAsia="zh-CN"/>
              </w:rPr>
              <w:t xml:space="preserve">分，一般的得</w:t>
            </w:r>
            <w:r>
              <w:rPr>
                <w:rFonts w:hint="eastAsia"/>
                <w:color w:val="000000"/>
                <w:spacing w:val="0"/>
                <w:highlight w:val="none"/>
                <w:lang w:val="en-US" w:eastAsia="zh-CN"/>
              </w:rPr>
              <w:t xml:space="preserve">1</w:t>
            </w:r>
            <w:r>
              <w:rPr>
                <w:rFonts w:hint="eastAsia"/>
                <w:color w:val="000000"/>
                <w:spacing w:val="0"/>
                <w:highlight w:val="none"/>
                <w:lang w:eastAsia="zh-CN"/>
              </w:rPr>
              <w:t xml:space="preserve">分，差的</w:t>
            </w:r>
            <w:r>
              <w:rPr>
                <w:rFonts w:hint="eastAsia"/>
                <w:color w:val="000000"/>
                <w:spacing w:val="0"/>
                <w:highlight w:val="none"/>
                <w:lang w:val="en-US" w:eastAsia="zh-CN"/>
              </w:rPr>
              <w:t xml:space="preserve">0.5</w:t>
            </w:r>
            <w:r>
              <w:rPr>
                <w:rFonts w:hint="eastAsia"/>
                <w:color w:val="000000"/>
                <w:spacing w:val="0"/>
                <w:highlight w:val="none"/>
                <w:lang w:eastAsia="zh-CN"/>
              </w:rPr>
              <w:t xml:space="preserve">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85"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8" w:type="dxa"/>
            <w:vAlign w:val="center"/>
            <w:vMerge w:val="continue"/>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shd w:val="clear" w:color="auto" w:fill="auto"/>
            <w:tcW w:w="5313" w:type="dxa"/>
            <w:vAlign w:val="top"/>
            <w:textDirection w:val="lrTb"/>
            <w:noWrap w:val="false"/>
          </w:tcPr>
          <w:p>
            <w:pPr>
              <w:pStyle w:val="1246"/>
              <w:numPr>
                <w:ilvl w:val="0"/>
                <w:numId w:val="0"/>
              </w:numPr>
              <w:ind w:left="0" w:right="110" w:firstLine="0"/>
              <w:jc w:val="left"/>
              <w:spacing w:before="0" w:line="240" w:lineRule="auto"/>
              <w:rPr>
                <w:rFonts w:hint="eastAsia" w:ascii="宋体" w:hAnsi="宋体" w:eastAsia="宋体" w:cs="宋体"/>
                <w:color w:val="000000"/>
                <w:sz w:val="24"/>
                <w:szCs w:val="24"/>
                <w:highlight w:val="none"/>
                <w:lang w:val="en-US" w:eastAsia="zh-CN" w:bidi="ar-SA"/>
              </w:rPr>
            </w:pPr>
            <w:r>
              <w:rPr>
                <w:rFonts w:hint="eastAsia"/>
                <w:color w:val="000000"/>
                <w:highlight w:val="none"/>
                <w:lang w:eastAsia="zh-CN"/>
              </w:rPr>
              <w:t xml:space="preserve">供应商须针对本项目提供培训服务方案，包括但不限于培训计划、人数、内容、次数和课程时间安排，培训方案等要求。优得2分，一般得1分，差0.5分</w:t>
            </w:r>
            <w:r/>
          </w:p>
        </w:tc>
        <w:tc>
          <w:tcPr>
            <w:tcW w:w="1873" w:type="dxa"/>
            <w:vAlign w:val="center"/>
            <w:textDirection w:val="lrTb"/>
            <w:noWrap w:val="false"/>
          </w:tcPr>
          <w:p>
            <w:pPr>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2003"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771" w:type="dxa"/>
            <w:vAlign w:val="center"/>
            <w:textDirection w:val="lrTb"/>
            <w:noWrap w:val="false"/>
          </w:tcPr>
          <w:p>
            <w:pPr>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2"/>
            <w:tcW w:w="7186"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1080"/>
        <w:spacing w:line="360" w:lineRule="auto"/>
        <w:tabs>
          <w:tab w:val="left" w:pos="36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240" w:lineRule="auto"/>
        <w:rPr>
          <w:rFonts w:hint="eastAsia" w:ascii="宋体" w:hAnsi="宋体" w:eastAsia="宋体" w:cs="宋体"/>
          <w:b/>
          <w:color w:val="000000"/>
          <w:sz w:val="36"/>
          <w:szCs w:val="36"/>
          <w:highlight w:val="none"/>
        </w:rPr>
        <w:outlineLvl w:val="9"/>
      </w:pPr>
      <w:r/>
      <w:bookmarkStart w:id="815" w:name="_Toc99301424"/>
      <w:r/>
      <w:bookmarkStart w:id="816" w:name="_Toc22907"/>
      <w:r>
        <w:rPr>
          <w:rFonts w:hint="eastAsia" w:ascii="宋体" w:hAnsi="宋体" w:eastAsia="宋体" w:cs="宋体"/>
          <w:b/>
          <w:color w:val="000000"/>
          <w:sz w:val="36"/>
          <w:szCs w:val="36"/>
          <w:highlight w:val="none"/>
        </w:rPr>
        <w:br w:type="page" w:clear="all"/>
      </w:r>
      <w:r/>
    </w:p>
    <w:p>
      <w:p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第五章   采购需求</w:t>
      </w:r>
      <w:bookmarkEnd w:id="815"/>
      <w:r/>
      <w:bookmarkEnd w:id="816"/>
      <w:r/>
      <w:r/>
    </w:p>
    <w:p>
      <w:pPr>
        <w:ind w:firstLine="0"/>
        <w:jc w:val="left"/>
        <w:spacing w:line="360" w:lineRule="auto"/>
        <w:rPr>
          <w:rFonts w:hint="eastAsia" w:ascii="宋体" w:hAnsi="宋体" w:eastAsia="宋体" w:cs="宋体"/>
          <w:b/>
          <w:color w:val="000000"/>
          <w:sz w:val="24"/>
          <w:highlight w:val="none"/>
          <w:lang w:bidi="ar"/>
        </w:rPr>
        <w:outlineLvl w:val="1"/>
      </w:pPr>
      <w:r>
        <w:rPr>
          <w:rFonts w:hint="eastAsia" w:ascii="宋体" w:hAnsi="宋体" w:eastAsia="宋体" w:cs="宋体"/>
          <w:b/>
          <w:color w:val="000000"/>
          <w:sz w:val="24"/>
          <w:highlight w:val="none"/>
          <w:lang w:bidi="ar"/>
        </w:rPr>
        <w:t xml:space="preserve">一、项目概况</w:t>
      </w:r>
      <w:r/>
    </w:p>
    <w:p>
      <w:pPr>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bidi="ar"/>
        </w:rPr>
        <w:t xml:space="preserve"> 本次采购为智能制造产线夹具设计与调试实训室建设采购项目</w:t>
      </w:r>
      <w:r>
        <w:rPr>
          <w:rFonts w:hint="eastAsia" w:ascii="宋体" w:hAnsi="宋体" w:eastAsia="宋体" w:cs="宋体"/>
          <w:color w:val="000000"/>
          <w:sz w:val="24"/>
          <w:highlight w:val="none"/>
          <w:lang w:val="en-US" w:eastAsia="zh-CN" w:bidi="ar"/>
        </w:rPr>
        <w:t xml:space="preserve">,该项目的采购包括智能夹具综合实训平台、数字孪生软件、夹具虚拟教学软件、智能产线夹具资源包。</w:t>
      </w:r>
      <w:r/>
    </w:p>
    <w:p>
      <w:pPr>
        <w:numPr>
          <w:ilvl w:val="0"/>
          <w:numId w:val="0"/>
        </w:numPr>
        <w:ind w:firstLine="0"/>
        <w:jc w:val="left"/>
        <w:spacing w:line="360" w:lineRule="auto"/>
        <w:rPr>
          <w:rFonts w:hint="eastAsia" w:ascii="宋体" w:hAnsi="宋体" w:eastAsia="宋体" w:cs="宋体"/>
          <w:b/>
          <w:color w:val="000000"/>
          <w:sz w:val="24"/>
          <w:highlight w:val="none"/>
          <w:lang w:bidi="ar"/>
        </w:rPr>
        <w:outlineLvl w:val="1"/>
      </w:pPr>
      <w:r>
        <w:rPr>
          <w:rFonts w:hint="eastAsia" w:ascii="宋体" w:hAnsi="宋体" w:cs="宋体"/>
          <w:b/>
          <w:color w:val="000000"/>
          <w:sz w:val="24"/>
          <w:szCs w:val="24"/>
          <w:highlight w:val="none"/>
          <w:lang w:val="en-US" w:eastAsia="zh-CN" w:bidi="ar"/>
        </w:rPr>
        <w:t xml:space="preserve">二</w:t>
      </w:r>
      <w:r>
        <w:rPr>
          <w:rFonts w:hint="eastAsia" w:ascii="宋体" w:hAnsi="宋体" w:eastAsia="宋体" w:cs="宋体"/>
          <w:b/>
          <w:color w:val="000000"/>
          <w:sz w:val="24"/>
          <w:szCs w:val="24"/>
          <w:highlight w:val="none"/>
          <w:lang w:val="en-US" w:eastAsia="zh-CN" w:bidi="ar"/>
        </w:rPr>
        <w:t xml:space="preserve">、</w:t>
      </w:r>
      <w:r>
        <w:rPr>
          <w:rFonts w:hint="eastAsia" w:ascii="宋体" w:hAnsi="宋体" w:cs="宋体"/>
          <w:b/>
          <w:color w:val="000000"/>
          <w:sz w:val="24"/>
          <w:highlight w:val="none"/>
          <w:lang w:val="en-US" w:eastAsia="zh-CN" w:bidi="ar"/>
        </w:rPr>
        <w:t xml:space="preserve">采购清单及</w:t>
      </w:r>
      <w:r>
        <w:rPr>
          <w:rFonts w:hint="eastAsia" w:ascii="宋体" w:hAnsi="宋体" w:eastAsia="宋体" w:cs="宋体"/>
          <w:b/>
          <w:color w:val="000000"/>
          <w:sz w:val="24"/>
          <w:highlight w:val="none"/>
          <w:lang w:bidi="ar"/>
        </w:rPr>
        <w:t xml:space="preserve">技术要求</w:t>
      </w:r>
      <w:r/>
    </w:p>
    <w:p>
      <w:pPr>
        <w:numPr>
          <w:ilvl w:val="-1"/>
          <w:numId w:val="0"/>
        </w:numPr>
        <w:ind w:firstLine="0"/>
        <w:jc w:val="left"/>
        <w:spacing w:line="360" w:lineRule="auto"/>
        <w:rPr>
          <w:rFonts w:hint="eastAsia" w:ascii="宋体" w:hAnsi="宋体" w:eastAsia="宋体" w:cs="宋体"/>
          <w:b/>
          <w:color w:val="000000"/>
          <w:sz w:val="24"/>
          <w:highlight w:val="none"/>
          <w:lang w:bidi="ar"/>
        </w:rPr>
        <w:outlineLvl w:val="1"/>
      </w:pPr>
      <w:r>
        <w:rPr>
          <w:rFonts w:hint="eastAsia" w:ascii="宋体" w:hAnsi="宋体" w:cs="宋体"/>
          <w:sz w:val="24"/>
          <w:szCs w:val="24"/>
          <w:highlight w:val="none"/>
          <w:lang w:val="en-US" w:eastAsia="zh-CN"/>
        </w:rPr>
        <w:t xml:space="preserve">采购清单：</w:t>
      </w:r>
      <w:r/>
    </w:p>
    <w:tbl>
      <w:tblPr>
        <w:tblStyle w:val="777"/>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3513"/>
        <w:gridCol w:w="2759"/>
        <w:gridCol w:w="1390"/>
        <w:gridCol w:w="1098"/>
      </w:tblGrid>
      <w:tr>
        <w:trPr>
          <w:jc w:val="center"/>
          <w:trHeight w:val="254"/>
        </w:trPr>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ind w:right="0"/>
              <w:jc w:val="center"/>
              <w:spacing w:line="240" w:lineRule="auto"/>
              <w:rPr>
                <w:rFonts w:hint="eastAsia" w:ascii="宋体" w:hAnsi="宋体" w:cs="宋体"/>
                <w:b/>
                <w:sz w:val="24"/>
                <w:szCs w:val="24"/>
                <w:highlight w:val="none"/>
              </w:rPr>
              <w:outlineLvl w:val="1"/>
            </w:pPr>
            <w:r>
              <w:rPr>
                <w:rFonts w:hint="eastAsia" w:ascii="宋体" w:hAnsi="宋体" w:cs="宋体"/>
                <w:sz w:val="24"/>
                <w:szCs w:val="24"/>
                <w:highlight w:val="none"/>
                <w:lang w:val="en-US" w:eastAsia="zh-CN"/>
              </w:rPr>
              <w:t xml:space="preserve"> </w:t>
            </w:r>
            <w:r>
              <w:rPr>
                <w:rFonts w:hint="eastAsia" w:ascii="宋体" w:hAnsi="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jc w:val="center"/>
              <w:spacing w:line="24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项目</w:t>
            </w:r>
            <w:r>
              <w:rPr>
                <w:rFonts w:hint="eastAsia" w:ascii="宋体" w:hAnsi="宋体" w:cs="宋体"/>
                <w:b/>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jc w:val="center"/>
              <w:spacing w:line="240" w:lineRule="auto"/>
              <w:rPr>
                <w:rFonts w:hint="eastAsia" w:ascii="宋体" w:hAnsi="宋体" w:eastAsia="宋体" w:cs="宋体"/>
                <w:b/>
                <w:sz w:val="24"/>
                <w:szCs w:val="24"/>
                <w:highlight w:val="none"/>
                <w:lang w:val="en-US" w:eastAsia="zh-CN"/>
              </w:rPr>
              <w:outlineLvl w:val="1"/>
            </w:pPr>
            <w:r>
              <w:rPr>
                <w:rFonts w:hint="eastAsia" w:ascii="宋体" w:hAnsi="宋体" w:cs="宋体"/>
                <w:b/>
                <w:sz w:val="24"/>
                <w:szCs w:val="24"/>
                <w:highlight w:val="none"/>
                <w:lang w:val="en-US" w:eastAsia="zh-CN"/>
              </w:rPr>
              <w:t xml:space="preserve">设备基本规格及要求</w:t>
            </w:r>
            <w:r/>
          </w:p>
        </w:tc>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jc w:val="center"/>
              <w:spacing w:line="24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spacing w:line="24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单位</w:t>
            </w:r>
            <w:r/>
          </w:p>
        </w:tc>
      </w:tr>
      <w:tr>
        <w:trPr>
          <w:jc w:val="center"/>
          <w:trHeight w:val="454"/>
        </w:trPr>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85" w:type="pct"/>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宋体"/>
                <w:sz w:val="24"/>
                <w:highlight w:val="none"/>
                <w:vertAlign w:val="baseline"/>
                <w:lang w:val="en-US" w:eastAsia="zh-CN"/>
              </w:rPr>
              <w:t xml:space="preserve">智能夹具综合实训平台</w:t>
            </w:r>
            <w:r/>
          </w:p>
        </w:tc>
        <w:tc>
          <w:tcPr>
            <w:tcBorders>
              <w:top w:val="single" w:color="auto" w:sz="4" w:space="0"/>
              <w:left w:val="single" w:color="auto" w:sz="4" w:space="0"/>
              <w:bottom w:val="single" w:color="auto" w:sz="4" w:space="0"/>
              <w:right w:val="single" w:color="auto" w:sz="4" w:space="0"/>
            </w:tcBorders>
            <w:tcW w:w="1402" w:type="pct"/>
            <w:vAlign w:val="center"/>
            <w:textDirection w:val="lrTb"/>
            <w:noWrap w:val="false"/>
          </w:tcPr>
          <w:p>
            <w:pPr>
              <w:jc w:val="center"/>
              <w:keepLines w:val="0"/>
              <w:keepNext w:val="0"/>
              <w:widowControl/>
              <w:rPr>
                <w:rFonts w:hint="eastAsia"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详见参数</w:t>
            </w:r>
            <w:r/>
          </w:p>
        </w:tc>
        <w:tc>
          <w:tcPr>
            <w:tcBorders>
              <w:top w:val="single" w:color="auto" w:sz="4" w:space="0"/>
              <w:left w:val="single" w:color="auto" w:sz="4" w:space="0"/>
              <w:bottom w:val="single" w:color="auto" w:sz="4" w:space="0"/>
              <w:right w:val="single" w:color="auto" w:sz="4" w:space="0"/>
            </w:tcBorders>
            <w:tcW w:w="706" w:type="pct"/>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top w:val="none" w:color="000000" w:sz="4" w:space="0"/>
              <w:left w:val="single" w:color="auto" w:sz="4" w:space="0"/>
              <w:bottom w:val="single" w:color="auto" w:sz="4" w:space="0"/>
              <w:right w:val="single" w:color="auto" w:sz="4" w:space="0"/>
            </w:tcBorders>
            <w:tcW w:w="178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数字孪生软件</w:t>
            </w:r>
            <w:r/>
          </w:p>
        </w:tc>
        <w:tc>
          <w:tcPr>
            <w:tcBorders>
              <w:top w:val="none" w:color="000000" w:sz="4" w:space="0"/>
              <w:left w:val="single" w:color="auto" w:sz="4" w:space="0"/>
              <w:bottom w:val="single" w:color="auto" w:sz="4" w:space="0"/>
              <w:right w:val="single" w:color="auto" w:sz="4" w:space="0"/>
            </w:tcBorders>
            <w:tcW w:w="1402" w:type="pct"/>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详见参数</w:t>
            </w:r>
            <w:r/>
          </w:p>
        </w:tc>
        <w:tc>
          <w:tcPr>
            <w:tcBorders>
              <w:top w:val="none" w:color="000000" w:sz="4" w:space="0"/>
              <w:left w:val="single" w:color="auto" w:sz="4" w:space="0"/>
              <w:bottom w:val="single" w:color="auto" w:sz="4" w:space="0"/>
              <w:right w:val="single" w:color="auto" w:sz="4" w:space="0"/>
            </w:tcBorders>
            <w:tcW w:w="706"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178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夹具虚拟教学软件</w:t>
            </w:r>
            <w:r/>
          </w:p>
        </w:tc>
        <w:tc>
          <w:tcPr>
            <w:tcBorders>
              <w:top w:val="none" w:color="000000" w:sz="4" w:space="0"/>
              <w:left w:val="single" w:color="auto" w:sz="4" w:space="0"/>
              <w:bottom w:val="single" w:color="auto" w:sz="4" w:space="0"/>
              <w:right w:val="single" w:color="auto" w:sz="4" w:space="0"/>
            </w:tcBorders>
            <w:tcW w:w="1402" w:type="pct"/>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详见参数</w:t>
            </w:r>
            <w:r/>
          </w:p>
        </w:tc>
        <w:tc>
          <w:tcPr>
            <w:tcBorders>
              <w:top w:val="none" w:color="000000" w:sz="4" w:space="0"/>
              <w:left w:val="single" w:color="auto" w:sz="4" w:space="0"/>
              <w:bottom w:val="single" w:color="auto" w:sz="4" w:space="0"/>
              <w:right w:val="single" w:color="auto" w:sz="4" w:space="0"/>
            </w:tcBorders>
            <w:tcW w:w="706"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Borders>
              <w:top w:val="none" w:color="000000" w:sz="4" w:space="0"/>
              <w:left w:val="single" w:color="auto" w:sz="4" w:space="0"/>
              <w:bottom w:val="single" w:color="auto" w:sz="4" w:space="0"/>
              <w:right w:val="single" w:color="auto" w:sz="4" w:space="0"/>
            </w:tcBorders>
            <w:tcW w:w="1785"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智能产线夹具资源包</w:t>
            </w:r>
            <w:r/>
          </w:p>
        </w:tc>
        <w:tc>
          <w:tcPr>
            <w:tcBorders>
              <w:top w:val="none" w:color="000000" w:sz="4" w:space="0"/>
              <w:left w:val="single" w:color="auto" w:sz="4" w:space="0"/>
              <w:bottom w:val="single" w:color="auto" w:sz="4" w:space="0"/>
              <w:right w:val="single" w:color="auto" w:sz="4" w:space="0"/>
            </w:tcBorders>
            <w:tcW w:w="1402" w:type="pct"/>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详见参数</w:t>
            </w:r>
            <w:r/>
          </w:p>
        </w:tc>
        <w:tc>
          <w:tcPr>
            <w:tcBorders>
              <w:top w:val="none" w:color="000000" w:sz="4" w:space="0"/>
              <w:left w:val="single" w:color="auto" w:sz="4" w:space="0"/>
              <w:bottom w:val="single" w:color="auto" w:sz="4" w:space="0"/>
              <w:right w:val="single" w:color="auto" w:sz="4" w:space="0"/>
            </w:tcBorders>
            <w:tcW w:w="706"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r>
    </w:tbl>
    <w:p>
      <w:pPr>
        <w:pStyle w:val="782"/>
        <w:numPr>
          <w:ilvl w:val="0"/>
          <w:numId w:val="0"/>
        </w:numPr>
        <w:spacing w:line="360" w:lineRule="auto"/>
        <w:rPr>
          <w:rFonts w:hint="eastAsia" w:ascii="宋体" w:hAnsi="宋体" w:cs="宋体"/>
          <w:sz w:val="24"/>
          <w:szCs w:val="24"/>
          <w:highlight w:val="none"/>
          <w:lang w:val="en-US" w:eastAsia="zh-CN"/>
        </w:rPr>
      </w:pPr>
      <w:r>
        <w:rPr>
          <w:rFonts w:hint="eastAsia" w:ascii="宋体" w:hAnsi="宋体" w:eastAsia="宋体" w:cs="Times New Roman"/>
          <w:sz w:val="24"/>
          <w:szCs w:val="20"/>
          <w:highlight w:val="none"/>
        </w:rPr>
        <w:t xml:space="preserve">详细技术指标</w:t>
      </w:r>
      <w:r>
        <w:rPr>
          <w:rFonts w:hint="eastAsia" w:ascii="宋体" w:hAnsi="宋体" w:cs="宋体"/>
          <w:sz w:val="24"/>
          <w:szCs w:val="24"/>
          <w:highlight w:val="none"/>
          <w:lang w:val="en-US" w:eastAsia="zh-CN"/>
        </w:rPr>
        <w:t xml:space="preserve">：</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160"/>
        <w:gridCol w:w="7978"/>
      </w:tblGrid>
      <w:tr>
        <w:trPr/>
        <w:tc>
          <w:tcPr>
            <w:tcBorders>
              <w:top w:val="single" w:color="auto" w:sz="4" w:space="0"/>
              <w:left w:val="single" w:color="auto" w:sz="4" w:space="0"/>
              <w:bottom w:val="single" w:color="auto" w:sz="4" w:space="0"/>
              <w:right w:val="single" w:color="auto" w:sz="4" w:space="0"/>
            </w:tcBorders>
            <w:tcW w:w="706"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60"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7978"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参数</w:t>
            </w:r>
            <w:r/>
          </w:p>
        </w:tc>
      </w:tr>
      <w:tr>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智能夹具综合实训平台</w:t>
            </w:r>
            <w:r/>
          </w:p>
        </w:tc>
        <w:tc>
          <w:tcPr>
            <w:tcBorders>
              <w:top w:val="single" w:color="auto" w:sz="4" w:space="0"/>
              <w:left w:val="single" w:color="auto" w:sz="4" w:space="0"/>
              <w:bottom w:val="single" w:color="auto" w:sz="4" w:space="0"/>
              <w:right w:val="single" w:color="auto" w:sz="4" w:space="0"/>
            </w:tcBorders>
            <w:tcW w:w="797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采用模块化设计，集成七轴工业机器人、实训台主体、气路控制模块、电路控制模块、伺服控制模块、仓储模块、检测校正模块、安全防护模块，各功能模块具体要求如下；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一、七轴工业机器人：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1.动作类型：多关节型；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2.控制轴数：≥7轴；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3.工作范围：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轴1: ≥ 320°；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轴2: ≥ 220°；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轴3: ≥ 280°；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轴4: ≥ 240°；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轴5: ≥ 360°；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轴6: ≥ 720°；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轴7：≥ 600mm。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4.最大活动半径：≥920mm；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5.手部最大负载（手腕部）：≥10kg；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6.驱动方式：AC伺服电机；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7.自带防碰撞检测，无需外配，灵敏度可以设置调节；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8.重复定位精度：≤±0.05mm；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9.重量：≤120kg；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10.环境温度：0℃~45℃；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11.环境湿度：20%～80%RH；</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12.振动：≤4.9m/s²；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13.配套机器人原厂控制器、控制柜和示教器；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14.机器人具有敏感的力反馈特性，当达到已设定的力时会立即停止，在风险评估后可不需要安装保护栏，使人和机器人能协同工作；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15.设备并网通讯模组；</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16.具备工业远程I/O端口输入输出、10K热敏电阻输入、气压检测输入通道；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17.设备状态输出：启动、停止、机械报警、系统报警、运行状态、维护提醒、并网实时状态；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18.具备工件夹紧反馈输出功能；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19.机器人末端必须为球锁式结构，提供机器人末端的三维模型、二维图纸；</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20.机器人末端需要有配电块，配电块电信号≥9针；</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21.▲不同机床夹具，具有单独机器人程序，并能根据实训需要单独调用和修改；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22.▲机器人能与数字孪生互联，完成实时动态位置反馈和仿真。</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23.机器人可在不更换互换握爪情况下抓取不同机器人末端夹具。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二、实训台主体：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1.实训装置主体是钣金框架构架；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2.外形尺寸：≥长×宽×高2600mmX1400mm×1900mm；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3.外观材料：采用冷轧钢板，承重钣金厚度≥3mm，外观钣金厚度≥1.5mm；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4.实训台面材料：需用工业铝合金型材，并具有T型槽，便于快速安装智能夹具；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5.▲工作台面可安装多种设备夹具，并在实训台中模拟仿真夹具工作过程，提供模具电极项目案例、新能源压缩机涡旋叶轮项目案例的演示视频；</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6.控制台主体颜色：乳白色；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7.柜体设计活动门板，检修、维护方便；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8.整机容量：≥1kVA；</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9.电源输入：带有漏电保护功能，当由于接线错误而导致线路发生短路时，会自动断开电源，起到保护设备的功能；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10.电源信息：单相三线～220V±10%  50Hz，设有过流保护； PLC的电源单独控制；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11.具有2处抽拉抽屉，采用承重型轨道设计，每个抽屉可承载≥50kg；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12.▲实训台具有可编程调控灯，灯条长度需不小于1米，颜色可自行编程；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13.▲投标人需提供操作台操作说明书复印件，操作说明书中需包含实训台的操作、气路操作、电路操作、实训台故障检测和实训台维护保养等，操作说明书不少于20页。；</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三、气路控制模块：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1.▲气路模块为可视化设计，并能90°翻转，能直观查看对应的</w:t>
            </w:r>
            <w:r>
              <w:rPr>
                <w:rFonts w:hint="eastAsia" w:ascii="黑体" w:hAnsi="黑体" w:eastAsia="黑体" w:cs="黑体"/>
                <w:sz w:val="21"/>
                <w:szCs w:val="21"/>
                <w:highlight w:val="none"/>
                <w:lang w:val="en-US" w:eastAsia="zh-CN"/>
              </w:rPr>
              <w:t xml:space="preserve">气路</w:t>
            </w:r>
            <w:r>
              <w:rPr>
                <w:rFonts w:hint="eastAsia" w:ascii="黑体" w:hAnsi="黑体" w:eastAsia="黑体" w:cs="黑体"/>
                <w:sz w:val="21"/>
                <w:szCs w:val="21"/>
                <w:highlight w:val="none"/>
              </w:rPr>
              <w:t xml:space="preserve">配件；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2.具有不少于8路气路，可自由组合，同时控制不同夹具；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3.具有气压检测值信号，在气压不足时输出报警，机器人不得运行；</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4.气源可单独过滤，将气路中水分过滤并自动排出；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5.气路均为快插形式，便于夹具安装时的气路安装；</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6.气路模块与仿真软件互联，软件能实时读取状态。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四、电路控制模块：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1.▲电路控制模块为可视化设计，并能90°翻转，能直观查看对应的</w:t>
            </w:r>
            <w:r>
              <w:rPr>
                <w:rFonts w:hint="eastAsia" w:ascii="黑体" w:hAnsi="黑体" w:eastAsia="黑体" w:cs="黑体"/>
                <w:sz w:val="21"/>
                <w:szCs w:val="21"/>
                <w:highlight w:val="none"/>
                <w:lang w:val="en-US" w:eastAsia="zh-CN"/>
              </w:rPr>
              <w:t xml:space="preserve">电路</w:t>
            </w:r>
            <w:r>
              <w:rPr>
                <w:rFonts w:hint="eastAsia" w:ascii="黑体" w:hAnsi="黑体" w:eastAsia="黑体" w:cs="黑体"/>
                <w:sz w:val="21"/>
                <w:szCs w:val="21"/>
                <w:highlight w:val="none"/>
              </w:rPr>
              <w:t xml:space="preserve">配件工作状态；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2.输入输出：30 输入/24 输出；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3.集成：2AI/2AO 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4.输入输出点均连接到安全插口上；</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5.输入电源：DC24V；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6.通信集成模块：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7.通信交互功能：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8.▲具备通信交互功能，plc与客户端、MES 系统通信，通过局域网、设备信息相互传递，投标人须具备通信交互功能的自主知识产权，提供对应相关软件著作权证书复印件，复印件需盖投标人公章；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9.具备与自动化产线、信息交互，自动化产线的状态实时呈现功能；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10.具备移动终端PLC、IO、TCP、串口调试监控功能；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11.低压电器采用防火材质；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12.具备产线故障设置及排除；</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13.具备自主控制操作面板；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14.通讯方式：TCP/MC/OPC 以太网协议；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15.电路控制模块与仿真软件能通讯控制互联，软件能实时读取电器状态等。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五、伺服控制模块；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1.▲伺服控制模块可视化设计，并能90°翻转，能直观查看对应伺服器；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2.机器人轴为单独控制，具有独立驱动器；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3.具有独立电源控制；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4.输入电源：220V；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5.驱动器驱动轴数：≥7个；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六、仓储：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1.材料：铝合金；</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2.工件和机器人末端手爪需配套工件托板与手爪托板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3.工件托板、手爪托板与仓储区的连接方式为磁吸快换式，可通过机器人示教器进行上电消磁或上磁；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2.每个工件库含有传感器，能实时监控料位上有无工件托板或者手爪托板；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3.电源：24v；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4.厚度≥2mm；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6.料库工位可根据实训夹具数量进行调整；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7.夹具定位为非完全定位，需具有一定间隙。</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七、检测校正模块：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辅助配套工具需满足所有实训台实训使用，对应需求配件如下：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1.校正导轨：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1）导轨长度：≥460mm；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2）有效行程：≥400mm；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3）直线度误差：≥200mm范围内±0.01mm；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4）线轨规格：≥30mm；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2.基准大理石：</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1）材质：大理石；</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2）精度：≥000级；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3）形状：直角；</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4）规格：250mm×160mm×50mm；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5）精度：000级；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3.杠杆百分表及表座：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1）调节方式：万向节；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2）表精度：≤0.01mm；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3）表量程：≥0-0.8mm；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4）表规格：30mm。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4.零点校正仪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1）校正方式：激光测距；</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2）重复精度≤1mm;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3）光源：红色半导体激光，655nm；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4）▲零点校正仪具备数显显示，快速校正零位功能，零点校正仪定位精度需小于0.01mm；零点校正仪需含有自校正模块，能校正检测仪误差（须提供配套机器人零位电子矫正仪真实使用图片，图片不少于3张）。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八、安全防护模块：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1.▲为了便于学员操作，操作三面采用安全光栅防护，机器人侧采用围栏防护。光栅长度不能少于1m，光栅信号需接入机器人暂停信号，自动运行时有人员进入时机器人能自动停止。</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2.▲需提供实训台实物图，标明光栅与围栏位置并加盖投标人公章；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3.具有安全防护监控，可远程实时监控学员操作情况，可以回放检查错误；</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4.光点光束：≥26光束；</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5.防护等级：IP65；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6.抗光干扰：≥10000LUX；</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7.响应时间：≤10MS</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8.工作温度：-10℃～+55℃；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9.监控像素：≥200万；</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10.成像颜色：彩色；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11.焦距：≥2mm；</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九、</w:t>
            </w:r>
            <w:r>
              <w:rPr>
                <w:rFonts w:hint="eastAsia" w:ascii="黑体" w:hAnsi="黑体" w:eastAsia="黑体" w:cs="黑体"/>
                <w:sz w:val="21"/>
                <w:szCs w:val="21"/>
                <w:highlight w:val="none"/>
              </w:rPr>
              <w:t xml:space="preserve">▲</w:t>
            </w:r>
            <w:r>
              <w:rPr>
                <w:rFonts w:hint="eastAsia" w:ascii="黑体" w:hAnsi="黑体" w:eastAsia="黑体" w:cs="黑体"/>
                <w:sz w:val="21"/>
                <w:szCs w:val="21"/>
                <w:highlight w:val="none"/>
                <w:lang w:val="en-US" w:eastAsia="zh-CN"/>
              </w:rPr>
              <w:t xml:space="preserve">投标人需具有对应机床夹具及机器人末端夹具教材出版经验，并承诺协助我院教师出版对应夹具教学教材，提供承诺函。</w:t>
            </w:r>
            <w:r/>
          </w:p>
        </w:tc>
      </w:tr>
      <w:tr>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数字孪生软件</w:t>
            </w:r>
            <w:r/>
          </w:p>
        </w:tc>
        <w:tc>
          <w:tcPr>
            <w:tcBorders>
              <w:top w:val="single" w:color="auto" w:sz="4" w:space="0"/>
              <w:left w:val="single" w:color="auto" w:sz="4" w:space="0"/>
              <w:bottom w:val="single" w:color="auto" w:sz="4" w:space="0"/>
              <w:right w:val="single" w:color="auto" w:sz="4" w:space="0"/>
            </w:tcBorders>
            <w:tcW w:w="797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1.▲数字孪生软件需与智能夹具实训台匹配使用，仿真动作和信号需与智能夹具实训台实际动作一致，需提供</w:t>
            </w:r>
            <w:r>
              <w:rPr>
                <w:rFonts w:hint="eastAsia" w:ascii="黑体" w:hAnsi="黑体" w:eastAsia="黑体" w:cs="黑体"/>
                <w:sz w:val="21"/>
                <w:szCs w:val="21"/>
                <w:highlight w:val="none"/>
                <w:lang w:val="en-US" w:eastAsia="zh-CN"/>
              </w:rPr>
              <w:t xml:space="preserve">软件截图</w:t>
            </w:r>
            <w:r>
              <w:rPr>
                <w:rFonts w:hint="eastAsia" w:ascii="黑体" w:hAnsi="黑体" w:eastAsia="黑体" w:cs="黑体"/>
                <w:sz w:val="21"/>
                <w:szCs w:val="21"/>
                <w:highlight w:val="none"/>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2.▲数字孪生软件为投标人自主研发，投标人需提供对应相关软件著作权证书复印件，复印件需加盖投标人公章。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3.系统主要功能特点：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1）三维智能制造工厂场景能够任意方向旋转、视点切换以及360度全方位观看，具有直观立体，真实互动的效果。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2）以实际智能夹具为蓝本进行建模，与真实的实训台一致，结构完整。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3）能够快速进行正视图、顶视图、右视图切换，操作使用人性化。</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4）能够全屏，查看机器人的运行、功能操作、场景模型等。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5）PLC信号的输入、输出工具，通过软件自带的PLC链接工具，读取PLC的输入、输出信号，在软件上实时反应运作。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6）通过软件自带的PLC链接工具，可接入多台PLC，读取多台PLC的输入、输出信号，在软件上实时反应运作。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7）具备与机器人仿真通信，实现在线仿真，仿真画面与实际机器人动作的仿联动。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8）具有查询仿真软件里的信息，如IO、寄存器。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9）能与机器人互联，实现机器人动作与信号一致。</w:t>
            </w:r>
            <w:r/>
          </w:p>
        </w:tc>
      </w:tr>
      <w:tr>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夹具虚拟教学软件</w:t>
            </w:r>
            <w:r/>
          </w:p>
        </w:tc>
        <w:tc>
          <w:tcPr>
            <w:tcBorders>
              <w:top w:val="single" w:color="auto" w:sz="4" w:space="0"/>
              <w:left w:val="single" w:color="auto" w:sz="4" w:space="0"/>
              <w:bottom w:val="single" w:color="auto" w:sz="4" w:space="0"/>
              <w:right w:val="single" w:color="auto" w:sz="4" w:space="0"/>
            </w:tcBorders>
            <w:tcW w:w="797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1.内容要求：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1）包含夹具虚拟拆装教学模块、情景式教学模块、交互式媒体模块、设备虚拟拆装教学模块；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2）学习模块视频类资源包括：夹具拆卸流程与夹具结构运动流程；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3）训练模块包括：夹具结构拆卸与安装；</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4）考核模块包括：夹具结构拆卸与安装；</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rPr>
              <w:t xml:space="preserve">5）</w:t>
            </w:r>
            <w:r>
              <w:rPr>
                <w:rFonts w:hint="eastAsia" w:ascii="黑体" w:hAnsi="黑体" w:eastAsia="黑体" w:cs="黑体"/>
                <w:sz w:val="21"/>
                <w:szCs w:val="21"/>
                <w:highlight w:val="none"/>
                <w:lang w:val="en-US" w:eastAsia="zh-CN"/>
              </w:rPr>
              <w:t xml:space="preserve">包含案例：案例需包含专用夹具及智能产线夹具其中专用夹具包含以下案例：下压式钻床夹具、箱式钻床夹具、管接头成组车床夹具、成组车床夹具、角铁式车床夹具、连续夹紧可调铣床夹具、环形工件铣床夹具、拨叉键槽铣床夹具等；智能产线夹具需包含以下案例：柔性定位片球锁式夹具、锥形拉钉球锁式夹具、两爪自定心式卡盘夹具、内撑（内胀) 式夹具、膜片式卡盘夹具、简夹式卡盘夹具等；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lang w:val="en-US" w:eastAsia="zh-CN"/>
              </w:rPr>
              <w:t xml:space="preserve">6）</w:t>
            </w:r>
            <w:r>
              <w:rPr>
                <w:rFonts w:hint="eastAsia" w:ascii="黑体" w:hAnsi="黑体" w:eastAsia="黑体" w:cs="黑体"/>
                <w:sz w:val="21"/>
                <w:szCs w:val="21"/>
                <w:highlight w:val="none"/>
              </w:rPr>
              <w:t xml:space="preserve">提供一套夹具案例的各个功能模块截图，截图需清楚标明结构认知学习模块、夹具拆装训练模块、考核拆装模块等位置。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2.品质要求：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1）动画色彩造型应和谐，帧与帧之间的关联性要强；动画演播过程流畅，播放时无明显噪点，无卡顿现象；</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2）动画画工精细，画风正确表达微课内容；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3）动画界面设计符合阅读习惯，简洁大方、配色合理。包括影片中各个主场景色彩气氛图、平面场景图、立体分层图、景物结构图等；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4）动画内容符合我国法律法规，尊重各民族的风俗习惯，版权不存在争议。若其中包含少数民族或外国语言文字信息，应遵循其原内容完整性，使用原语言进行处理；</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5）交互操作方式合理，交互逻辑清晰；</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6）有清晰的系统帮助，有实时的操作提示。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3.帮助提示相关要求：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1）▲软件</w:t>
            </w:r>
            <w:r>
              <w:rPr>
                <w:rFonts w:hint="eastAsia" w:ascii="黑体" w:hAnsi="黑体" w:eastAsia="黑体" w:cs="黑体"/>
                <w:sz w:val="21"/>
                <w:szCs w:val="21"/>
                <w:highlight w:val="none"/>
                <w:lang w:val="en-US" w:eastAsia="zh-CN"/>
              </w:rPr>
              <w:t xml:space="preserve">需</w:t>
            </w:r>
            <w:r>
              <w:rPr>
                <w:rFonts w:hint="eastAsia" w:ascii="黑体" w:hAnsi="黑体" w:eastAsia="黑体" w:cs="黑体"/>
                <w:sz w:val="21"/>
                <w:szCs w:val="21"/>
                <w:highlight w:val="none"/>
              </w:rPr>
              <w:t xml:space="preserve">提供详细的用户手册，说明软件系统要求、操作方法</w:t>
            </w:r>
            <w:r>
              <w:rPr>
                <w:rFonts w:hint="eastAsia" w:ascii="黑体" w:hAnsi="黑体" w:eastAsia="黑体" w:cs="黑体"/>
                <w:sz w:val="21"/>
                <w:szCs w:val="21"/>
                <w:highlight w:val="none"/>
                <w:lang w:val="en-US" w:eastAsia="zh-CN"/>
              </w:rPr>
              <w:t xml:space="preserve">等</w:t>
            </w:r>
            <w:r>
              <w:rPr>
                <w:rFonts w:hint="eastAsia" w:ascii="黑体" w:hAnsi="黑体" w:eastAsia="黑体" w:cs="黑体"/>
                <w:sz w:val="21"/>
                <w:szCs w:val="21"/>
                <w:highlight w:val="none"/>
                <w:lang w:eastAsia="zh-CN"/>
              </w:rPr>
              <w:t xml:space="preserve">。</w:t>
            </w:r>
            <w:r>
              <w:rPr>
                <w:rFonts w:hint="eastAsia" w:ascii="黑体" w:hAnsi="黑体" w:eastAsia="黑体" w:cs="黑体"/>
                <w:sz w:val="21"/>
                <w:szCs w:val="21"/>
                <w:highlight w:val="none"/>
                <w:lang w:val="en-US" w:eastAsia="zh-CN"/>
              </w:rPr>
              <w:t xml:space="preserve">投标供应商需</w:t>
            </w:r>
            <w:r>
              <w:rPr>
                <w:rFonts w:hint="eastAsia" w:ascii="黑体" w:hAnsi="黑体" w:eastAsia="黑体" w:cs="黑体"/>
                <w:sz w:val="21"/>
                <w:szCs w:val="21"/>
                <w:highlight w:val="none"/>
              </w:rPr>
              <w:t xml:space="preserve">提供软件</w:t>
            </w:r>
            <w:r>
              <w:rPr>
                <w:rFonts w:hint="eastAsia" w:ascii="黑体" w:hAnsi="黑体" w:eastAsia="黑体" w:cs="黑体"/>
                <w:sz w:val="21"/>
                <w:szCs w:val="21"/>
                <w:highlight w:val="none"/>
                <w:lang w:val="en-US" w:eastAsia="zh-CN"/>
              </w:rPr>
              <w:t xml:space="preserve">用户手册</w:t>
            </w:r>
            <w:r>
              <w:rPr>
                <w:rFonts w:hint="eastAsia" w:ascii="黑体" w:hAnsi="黑体" w:eastAsia="黑体" w:cs="黑体"/>
                <w:sz w:val="21"/>
                <w:szCs w:val="21"/>
                <w:highlight w:val="none"/>
              </w:rPr>
              <w:t xml:space="preserve">截图</w:t>
            </w:r>
            <w:r>
              <w:rPr>
                <w:rFonts w:hint="eastAsia" w:ascii="黑体" w:hAnsi="黑体" w:eastAsia="黑体" w:cs="黑体"/>
                <w:sz w:val="21"/>
                <w:szCs w:val="21"/>
                <w:highlight w:val="none"/>
                <w:lang w:eastAsia="zh-CN"/>
              </w:rPr>
              <w:t xml:space="preserve">，</w:t>
            </w:r>
            <w:r>
              <w:rPr>
                <w:rFonts w:hint="eastAsia" w:ascii="黑体" w:hAnsi="黑体" w:eastAsia="黑体" w:cs="黑体"/>
                <w:sz w:val="21"/>
                <w:szCs w:val="21"/>
                <w:highlight w:val="none"/>
                <w:lang w:val="en-US" w:eastAsia="zh-CN"/>
              </w:rPr>
              <w:t xml:space="preserve">截图需盖投标供应商公章</w:t>
            </w:r>
            <w:r>
              <w:rPr>
                <w:rFonts w:hint="eastAsia" w:ascii="黑体" w:hAnsi="黑体" w:eastAsia="黑体" w:cs="黑体"/>
                <w:sz w:val="21"/>
                <w:szCs w:val="21"/>
                <w:highlight w:val="none"/>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2）针对每步操作要对具体操作对象进行提示，要求该模型以高亮进行显示。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4.工具相关要求：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1）工具须摆放在工具台面上，相似工具按规格依次放置；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工具及螺丝包括：断面密封胶、螺纹紧固胶、马克笔、扭矩扳手、声波张力仪、M2内六角扳手、M3内六角扳手、M4内六角扳手、M5内六角扳手、M6内六角扳手、十字螺丝刀、一字螺丝刀、内拉马、外拉马、斜口钳、橡胶锤、润滑脂、3轴同步带调节工装、扎带、M3×8内六角螺栓、M3×10内六角螺栓、M3×16内六角螺栓、M3×25内六角螺栓、M4×8-字螺栓、M4×16内六角螺栓、M4×20内六角螺栓、M4×25内六角螺栓、M4×40内六角螺栓、M5×25内六角螺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5.操作过程和操作方法要求：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1）在考核模式下不能以固定的线性流程进行操作，要求以实际的装调逻辑随意操作；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2）螺钉须匹配其规格，工具也要使用对应规格进行操作；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3）在虚拟场景内可以通过第一人称视角进行漫游，也可以切换到自由视角方便对操作的过程进行观察；</w:t>
            </w:r>
            <w:r/>
          </w:p>
        </w:tc>
      </w:tr>
      <w:tr>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智能产线夹具资源包</w:t>
            </w:r>
            <w:r/>
          </w:p>
        </w:tc>
        <w:tc>
          <w:tcPr>
            <w:tcBorders>
              <w:top w:val="single" w:color="auto" w:sz="4" w:space="0"/>
              <w:left w:val="single" w:color="auto" w:sz="4" w:space="0"/>
              <w:bottom w:val="single" w:color="auto" w:sz="4" w:space="0"/>
              <w:right w:val="single" w:color="auto" w:sz="4" w:space="0"/>
            </w:tcBorders>
            <w:tcW w:w="797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lang w:eastAsia="zh-CN"/>
              </w:rPr>
              <w:t xml:space="preserve">1.▲资源包需包含以下项目：模具电极项目案例、模具型芯项目案例、发动机活塞项目案例、音响外壳项目案例、新能源压缩机涡旋叶轮项目案例、高速电机轴芯项目案例：</w:t>
            </w:r>
            <w:r/>
          </w:p>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lang w:eastAsia="zh-CN"/>
              </w:rPr>
              <w:t xml:space="preserve">2.资源包里包含2D图纸（包含爆炸图、产品图、装配图）≥30张、3D模型文件（需包含六个项目的手爪、夹具、工件的模型）≥18个、案例的仿真视频≥26个、案例教材≥6个：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3.▲提供模具电极案例的爆炸图、产品图、装配图各一张的截图并加盖投标人公章，所提供文档需与提供货物一致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4.▲提供模具电极案例的模型截图，截图需包含单动剪刀式手爪模型、柔性定位片式球锁式卡盘模型、柔性定位片式电极座模型，模型截图加盖投标人公章，所提供模型需与提供货物一致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rPr>
              <w:t xml:space="preserve">5.▲3D图中，标准件需体现标准国标代码与国标名称，提供3D装配图需清楚体现</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lang w:val="en-US" w:eastAsia="zh-CN"/>
              </w:rPr>
              <w:t xml:space="preserve">6</w:t>
            </w:r>
            <w:r>
              <w:rPr>
                <w:rFonts w:hint="eastAsia" w:ascii="黑体" w:hAnsi="黑体" w:eastAsia="黑体" w:cs="黑体"/>
                <w:sz w:val="21"/>
                <w:szCs w:val="21"/>
                <w:highlight w:val="none"/>
              </w:rPr>
              <w:t xml:space="preserve">.▲提供模具电极项目案例的教材截图并加盖投标人公章；提供模具电极项目案例截图需包含工件介绍和技术要求，所提供教材需与提供货物一致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7.投标供应商需根据资源库内容进行教师培训，培训人员需具有夹具相关培训经验。</w:t>
            </w:r>
            <w:r/>
          </w:p>
        </w:tc>
      </w:tr>
    </w:tbl>
    <w:p>
      <w:pPr>
        <w:numPr>
          <w:ilvl w:val="0"/>
          <w:numId w:val="0"/>
        </w:numPr>
        <w:ind w:left="500" w:hanging="50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szCs w:val="24"/>
          <w:highlight w:val="none"/>
          <w:lang w:val="en-US" w:eastAsia="zh-CN" w:bidi="ar-SA"/>
        </w:rPr>
        <w:t xml:space="preserve">三</w:t>
      </w:r>
      <w:r>
        <w:rPr>
          <w:rFonts w:hint="default"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lang w:eastAsia="zh-CN"/>
        </w:rPr>
        <w:t xml:space="preserve">投标报价</w:t>
      </w:r>
      <w:r>
        <w:rPr>
          <w:rFonts w:hint="eastAsia" w:ascii="宋体" w:hAnsi="宋体" w:eastAsia="宋体" w:cs="宋体"/>
          <w:b/>
          <w:color w:val="auto"/>
          <w:sz w:val="24"/>
          <w:highlight w:val="none"/>
          <w:lang w:eastAsia="zh-CN"/>
        </w:rPr>
        <w:t xml:space="preserve">：</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宋体" w:hAnsi="宋体" w:cs="宋体"/>
          <w:iCs/>
          <w:color w:val="auto"/>
          <w:sz w:val="24"/>
          <w:highlight w:val="none"/>
          <w:lang w:bidi="ar"/>
        </w:rPr>
        <w:t xml:space="preserve">本项目为固定总价包干。</w:t>
      </w:r>
      <w:r>
        <w:rPr>
          <w:rFonts w:hint="eastAsia" w:cs="Times New Roman"/>
          <w:color w:val="auto"/>
          <w:sz w:val="24"/>
          <w:szCs w:val="24"/>
          <w:highlight w:val="none"/>
          <w:lang w:val="en-US" w:eastAsia="zh-CN" w:bidi="ar-SA"/>
        </w:rPr>
        <w:t xml:space="preserve">投标</w:t>
      </w:r>
      <w:r>
        <w:rPr>
          <w:rFonts w:hint="eastAsia" w:ascii="Times New Roman" w:hAnsi="Times New Roman" w:eastAsia="宋体" w:cs="Times New Roman"/>
          <w:color w:val="auto"/>
          <w:sz w:val="24"/>
          <w:szCs w:val="24"/>
          <w:highlight w:val="none"/>
          <w:lang w:val="en-US" w:eastAsia="zh-CN" w:bidi="ar-SA"/>
        </w:rPr>
        <w:t xml:space="preserve">报价</w:t>
      </w:r>
      <w:r>
        <w:rPr>
          <w:rFonts w:hint="eastAsia" w:ascii="宋体" w:hAnsi="宋体" w:cs="宋体"/>
          <w:iCs/>
          <w:color w:val="auto"/>
          <w:sz w:val="24"/>
          <w:highlight w:val="none"/>
          <w:lang w:bidi="ar"/>
        </w:rPr>
        <w:t xml:space="preserve">包括但不限于采购文件及其基本技术要求范围内相应产品供货前的准备(包括现场踏勘、技术核对等) 、货物设计、制造、加工、全部设备材料、附件、紧固件、随设备提供的备品备件、专用工具的价格、(包括关税、增值税、检验检测费、包装费、运杂费(运抵采购人项目现场)、运输保险费安装、调试、操作维护、人员培训、运输等所产生的一切费用，以及中标人认为需要的其他费用等。采购人不再支付其他任何费用。同时，除非合同条款中另有规定，否则，中标人所报价格在合同投标实施期间不因市场变化因素而变动。</w:t>
      </w:r>
      <w:r/>
    </w:p>
    <w:p>
      <w:pPr>
        <w:numPr>
          <w:ilvl w:val="0"/>
          <w:numId w:val="0"/>
        </w:numPr>
        <w:ind w:left="500" w:right="0" w:hanging="500"/>
        <w:jc w:val="left"/>
        <w:keepLines w:val="0"/>
        <w:keepNext w:val="0"/>
        <w:pageBreakBefore w:val="0"/>
        <w:spacing w:after="0" w:line="360" w:lineRule="auto"/>
        <w:widowControl/>
        <w:rPr>
          <w:rFonts w:hint="eastAsia" w:ascii="宋体" w:hAnsi="宋体" w:eastAsia="宋体" w:cs="宋体"/>
          <w:b/>
          <w:bCs w:val="0"/>
          <w:color w:val="auto"/>
          <w:spacing w:val="0"/>
          <w:sz w:val="24"/>
          <w:szCs w:val="24"/>
          <w:highlight w:val="none"/>
        </w:rPr>
        <w:outlineLvl w:val="1"/>
      </w:pPr>
      <w:r>
        <w:rPr>
          <w:rFonts w:hint="eastAsia" w:ascii="宋体" w:hAnsi="宋体" w:eastAsia="宋体" w:cs="宋体"/>
          <w:b/>
          <w:color w:val="auto"/>
          <w:sz w:val="24"/>
          <w:szCs w:val="24"/>
          <w:highlight w:val="none"/>
          <w:lang w:val="en-US" w:eastAsia="zh-CN" w:bidi="ar-SA"/>
        </w:rPr>
        <w:t xml:space="preserve">四、</w:t>
      </w:r>
      <w:r>
        <w:rPr>
          <w:rFonts w:hint="eastAsia" w:ascii="宋体" w:hAnsi="宋体" w:eastAsia="宋体" w:cs="宋体"/>
          <w:b/>
          <w:bCs w:val="0"/>
          <w:color w:val="auto"/>
          <w:spacing w:val="0"/>
          <w:sz w:val="24"/>
          <w:szCs w:val="24"/>
          <w:highlight w:val="none"/>
        </w:rPr>
        <w:t xml:space="preserve">交货与运输</w:t>
      </w:r>
      <w:r>
        <w:rPr>
          <w:rFonts w:hint="eastAsia" w:ascii="宋体" w:hAnsi="宋体" w:eastAsia="宋体" w:cs="宋体"/>
          <w:b/>
          <w:color w:val="auto"/>
          <w:sz w:val="24"/>
          <w:highlight w:val="none"/>
          <w:lang w:eastAsia="zh-CN"/>
        </w:rPr>
        <w:t xml:space="preserve">：</w:t>
      </w:r>
      <w:r/>
    </w:p>
    <w:p>
      <w:pPr>
        <w:ind w:left="0" w:right="0" w:firstLine="482"/>
        <w:jc w:val="left"/>
        <w:keepLines w:val="0"/>
        <w:keepNext w:val="0"/>
        <w:pageBreakBefore w:val="0"/>
        <w:spacing w:after="0" w:line="360" w:lineRule="auto"/>
        <w:widowControl/>
        <w:rPr>
          <w:rFonts w:hint="eastAsia" w:ascii="宋体" w:hAnsi="宋体" w:eastAsia="宋体" w:cs="宋体"/>
          <w:spacing w:val="0"/>
          <w:sz w:val="24"/>
          <w:szCs w:val="24"/>
          <w:highlight w:val="none"/>
        </w:rPr>
      </w:pPr>
      <w:r>
        <w:rPr>
          <w:rFonts w:hint="eastAsia" w:ascii="宋体" w:hAnsi="宋体" w:eastAsia="宋体" w:cs="宋体"/>
          <w:b/>
          <w:bCs/>
          <w:spacing w:val="0"/>
          <w:sz w:val="24"/>
          <w:szCs w:val="24"/>
          <w:highlight w:val="none"/>
        </w:rPr>
        <w:t xml:space="preserve">1. 货物交付：</w:t>
      </w:r>
      <w:r>
        <w:rPr>
          <w:rFonts w:hint="eastAsia" w:ascii="宋体" w:hAnsi="宋体" w:eastAsia="宋体" w:cs="宋体"/>
          <w:spacing w:val="0"/>
          <w:sz w:val="24"/>
          <w:szCs w:val="24"/>
          <w:highlight w:val="none"/>
        </w:rPr>
        <w:t xml:space="preserve">自合同签订之日起90个日历日内完成交货安装并通过采购人验收，具体以货物运到现场的时间为准，此日期或甲方书面通知变更后的日期为计算迟交货物违约金的依据。</w:t>
      </w:r>
      <w:r/>
    </w:p>
    <w:p>
      <w:pPr>
        <w:ind w:left="0" w:right="0" w:firstLine="482"/>
        <w:jc w:val="left"/>
        <w:keepLines w:val="0"/>
        <w:keepNext w:val="0"/>
        <w:pageBreakBefore w:val="0"/>
        <w:spacing w:after="0" w:line="360" w:lineRule="auto"/>
        <w:widowControl/>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 xml:space="preserve">2. 资料交付</w:t>
      </w:r>
      <w:r/>
    </w:p>
    <w:p>
      <w:pPr>
        <w:ind w:left="0" w:right="0" w:firstLine="480"/>
        <w:jc w:val="left"/>
        <w:keepLines w:val="0"/>
        <w:keepNext w:val="0"/>
        <w:pageBreakBefore w:val="0"/>
        <w:spacing w:after="0" w:line="360" w:lineRule="auto"/>
        <w:widowControl/>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乙方应在交付货物的同时向甲方提供全套随机文件</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rPr>
        <w:t xml:space="preserve">含产品合格证书、使用维护说明书、验收报告书</w:t>
      </w:r>
      <w:r>
        <w:rPr>
          <w:rFonts w:hint="eastAsia" w:ascii="宋体" w:hAnsi="宋体" w:eastAsia="宋体" w:cs="宋体"/>
          <w:spacing w:val="0"/>
          <w:sz w:val="24"/>
          <w:szCs w:val="24"/>
          <w:highlight w:val="none"/>
          <w:lang w:eastAsia="zh-CN"/>
        </w:rPr>
        <w:t xml:space="preserve">）壹套</w:t>
      </w:r>
      <w:r>
        <w:rPr>
          <w:rFonts w:hint="eastAsia" w:ascii="宋体" w:hAnsi="宋体" w:eastAsia="宋体" w:cs="宋体"/>
          <w:spacing w:val="0"/>
          <w:sz w:val="24"/>
          <w:szCs w:val="24"/>
          <w:highlight w:val="none"/>
        </w:rPr>
        <w:t xml:space="preserve">。</w:t>
      </w:r>
      <w:r/>
    </w:p>
    <w:p>
      <w:pPr>
        <w:ind w:left="0" w:right="0" w:firstLine="482"/>
        <w:jc w:val="left"/>
        <w:keepLines w:val="0"/>
        <w:keepNext w:val="0"/>
        <w:pageBreakBefore w:val="0"/>
        <w:spacing w:after="0" w:line="360" w:lineRule="auto"/>
        <w:widowControl/>
        <w:rPr>
          <w:rFonts w:hint="eastAsia" w:ascii="宋体" w:hAnsi="宋体" w:eastAsia="宋体" w:cs="宋体"/>
          <w:spacing w:val="0"/>
          <w:sz w:val="24"/>
          <w:szCs w:val="24"/>
          <w:highlight w:val="none"/>
        </w:rPr>
      </w:pPr>
      <w:r>
        <w:rPr>
          <w:rFonts w:hint="eastAsia" w:ascii="宋体" w:hAnsi="宋体" w:eastAsia="宋体" w:cs="宋体"/>
          <w:b/>
          <w:bCs/>
          <w:spacing w:val="0"/>
          <w:sz w:val="24"/>
          <w:szCs w:val="24"/>
          <w:highlight w:val="none"/>
        </w:rPr>
        <w:t xml:space="preserve">3. 交货地点：</w:t>
      </w:r>
      <w:r>
        <w:rPr>
          <w:rFonts w:hint="eastAsia" w:ascii="宋体" w:hAnsi="宋体" w:eastAsia="宋体" w:cs="宋体"/>
          <w:spacing w:val="0"/>
          <w:sz w:val="24"/>
          <w:szCs w:val="24"/>
          <w:highlight w:val="none"/>
        </w:rPr>
        <w:t xml:space="preserve">乙方应将货物运到甲方指定的地点</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single"/>
        </w:rPr>
        <w:t xml:space="preserve">常州机电职业技术学院</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 xml:space="preserve">。货物现场交付，甲方检验无误，签署收货通知单后货物所有权转移给甲方。</w:t>
      </w:r>
      <w:r/>
    </w:p>
    <w:p>
      <w:pPr>
        <w:numPr>
          <w:ilvl w:val="0"/>
          <w:numId w:val="0"/>
        </w:numPr>
        <w:ind w:left="500" w:hanging="50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szCs w:val="24"/>
          <w:highlight w:val="none"/>
          <w:lang w:val="en-US" w:eastAsia="zh-CN" w:bidi="ar-SA"/>
        </w:rPr>
        <w:t xml:space="preserve">四</w:t>
      </w:r>
      <w:r>
        <w:rPr>
          <w:rFonts w:hint="default"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验收标准</w:t>
      </w:r>
      <w:r>
        <w:rPr>
          <w:rFonts w:hint="eastAsia" w:ascii="宋体" w:hAnsi="宋体" w:eastAsia="宋体" w:cs="宋体"/>
          <w:b/>
          <w:color w:val="auto"/>
          <w:sz w:val="24"/>
          <w:highlight w:val="none"/>
          <w:lang w:eastAsia="zh-CN"/>
        </w:rPr>
        <w:t xml:space="preserve">：</w:t>
      </w:r>
      <w:r/>
    </w:p>
    <w:p>
      <w:pPr>
        <w:ind w:firstLine="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货物</w:t>
      </w:r>
      <w:r>
        <w:rPr>
          <w:rFonts w:hint="eastAsia" w:ascii="宋体" w:hAnsi="宋体" w:cs="宋体"/>
          <w:b/>
          <w:bCs/>
          <w:sz w:val="24"/>
          <w:szCs w:val="24"/>
          <w:highlight w:val="none"/>
          <w:lang w:val="en-US" w:eastAsia="zh-CN"/>
        </w:rPr>
        <w:t xml:space="preserve">部分：</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乙方提供的所有货物在交接过程中都须进行严格的检验和试验。</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1．出厂检验：乙方提供货物的产品合格证。</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3.安装调试检验：货物安装调整后进行试运行，试用期</w:t>
      </w:r>
      <w:r>
        <w:rPr>
          <w:rFonts w:hint="eastAsia" w:ascii="宋体" w:hAnsi="宋体" w:eastAsia="宋体" w:cs="宋体"/>
          <w:b/>
          <w:bCs/>
          <w:color w:val="auto"/>
          <w:sz w:val="24"/>
          <w:szCs w:val="24"/>
          <w:highlight w:val="none"/>
          <w:u w:val="single"/>
        </w:rPr>
        <w:t xml:space="preserve"> 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sz w:val="24"/>
          <w:szCs w:val="24"/>
          <w:highlight w:val="none"/>
        </w:rPr>
        <w:t xml:space="preserve">个月，结束后由甲方组织相关部门进行验收，并出具验收结果。若对验收结果有异议，可由双方委托权威的第三方检验机构进行检验。检验结果对双方都有约束力，检验费用由责任方负担。</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货物验收表</w:t>
      </w:r>
      <w:r>
        <w:rPr>
          <w:rFonts w:hint="eastAsia" w:ascii="宋体" w:hAnsi="宋体" w:eastAsia="宋体" w:cs="宋体"/>
          <w:sz w:val="24"/>
          <w:szCs w:val="24"/>
          <w:highlight w:val="none"/>
        </w:rPr>
        <w:t xml:space="preserve">：</w:t>
      </w:r>
      <w:r/>
    </w:p>
    <w:tbl>
      <w:tblPr>
        <w:tblStyle w:val="777"/>
        <w:tblW w:w="53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851"/>
        <w:gridCol w:w="2666"/>
        <w:gridCol w:w="4823"/>
        <w:gridCol w:w="1362"/>
      </w:tblGrid>
      <w:tr>
        <w:trPr>
          <w:jc w:val="center"/>
          <w:trHeight w:val="385"/>
        </w:trPr>
        <w:tc>
          <w:tcPr>
            <w:gridSpan w:val="2"/>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before="157" w:after="157"/>
              <w:rPr>
                <w:rFonts w:hint="eastAsia" w:ascii="宋体" w:hAnsi="宋体" w:cs="宋体"/>
                <w:b/>
                <w:sz w:val="24"/>
                <w:szCs w:val="24"/>
                <w:highlight w:val="none"/>
              </w:rPr>
            </w:pPr>
            <w:r>
              <w:rPr>
                <w:rFonts w:hint="eastAsia" w:ascii="宋体" w:hAnsi="宋体" w:cs="宋体"/>
                <w:b/>
                <w:sz w:val="24"/>
                <w:szCs w:val="24"/>
                <w:highlight w:val="none"/>
              </w:rPr>
              <w:t xml:space="preserve">项目内容</w:t>
            </w:r>
            <w:r/>
          </w:p>
        </w:tc>
        <w:tc>
          <w:tcPr>
            <w:gridSpan w:val="2"/>
            <w:tcBorders>
              <w:top w:val="single" w:color="auto" w:sz="4" w:space="0"/>
              <w:left w:val="single" w:color="auto" w:sz="4" w:space="0"/>
              <w:bottom w:val="single" w:color="auto" w:sz="4" w:space="0"/>
              <w:right w:val="single" w:color="auto" w:sz="4" w:space="0"/>
            </w:tcBorders>
            <w:tcW w:w="3494" w:type="pct"/>
            <w:vAlign w:val="center"/>
            <w:textDirection w:val="lrTb"/>
            <w:noWrap w:val="false"/>
          </w:tcPr>
          <w:p>
            <w:pPr>
              <w:jc w:val="center"/>
              <w:spacing w:before="157" w:after="157"/>
              <w:rPr>
                <w:rFonts w:hint="eastAsia" w:ascii="宋体" w:hAnsi="宋体" w:cs="宋体"/>
                <w:b/>
                <w:sz w:val="24"/>
                <w:szCs w:val="24"/>
                <w:highlight w:val="none"/>
              </w:rPr>
            </w:pPr>
            <w:r>
              <w:rPr>
                <w:rFonts w:hint="eastAsia" w:ascii="宋体" w:hAnsi="宋体" w:cs="宋体"/>
                <w:b/>
                <w:sz w:val="24"/>
                <w:szCs w:val="24"/>
                <w:highlight w:val="none"/>
              </w:rPr>
              <w:t xml:space="preserve">功能要求</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before="157" w:after="157"/>
              <w:rPr>
                <w:rFonts w:hint="eastAsia" w:ascii="宋体" w:hAnsi="宋体" w:cs="宋体"/>
                <w:b/>
                <w:sz w:val="24"/>
                <w:szCs w:val="24"/>
                <w:highlight w:val="none"/>
              </w:rPr>
            </w:pPr>
            <w:r>
              <w:rPr>
                <w:rFonts w:hint="eastAsia" w:ascii="宋体" w:hAnsi="宋体" w:cs="宋体"/>
                <w:b/>
                <w:sz w:val="24"/>
                <w:szCs w:val="24"/>
                <w:highlight w:val="none"/>
              </w:rPr>
              <w:t xml:space="preserve">验收结果</w:t>
            </w:r>
            <w:r/>
          </w:p>
        </w:tc>
      </w:tr>
      <w:tr>
        <w:trPr>
          <w:jc w:val="center"/>
          <w:trHeight w:val="385"/>
        </w:trPr>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jc w:val="center"/>
              <w:spacing w:before="157" w:after="157"/>
              <w:rPr>
                <w:rFonts w:hint="eastAsia" w:ascii="宋体" w:hAnsi="宋体" w:cs="宋体"/>
                <w:b/>
                <w:sz w:val="24"/>
                <w:szCs w:val="24"/>
                <w:highlight w:val="none"/>
                <w:lang w:bidi="th-TH"/>
              </w:rPr>
            </w:pPr>
            <w:r>
              <w:rPr>
                <w:rFonts w:hint="eastAsia" w:ascii="宋体" w:hAnsi="宋体" w:cs="宋体"/>
                <w:b/>
                <w:sz w:val="24"/>
                <w:szCs w:val="24"/>
                <w:highlight w:val="none"/>
                <w:lang w:bidi="th-TH"/>
              </w:rPr>
              <w:t xml:space="preserve">智能制造产线夹具设计与调试实训室建设项目</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before="157" w:after="157"/>
              <w:widowControl/>
              <w:rPr>
                <w:rFonts w:hint="eastAsia" w:ascii="宋体" w:hAnsi="宋体" w:cs="宋体"/>
                <w:b/>
                <w:sz w:val="24"/>
                <w:szCs w:val="24"/>
                <w:highlight w:val="none"/>
              </w:rPr>
            </w:pPr>
            <w:r>
              <w:rPr>
                <w:rFonts w:hint="eastAsia" w:ascii="宋体" w:hAnsi="宋体" w:cs="宋体"/>
                <w:sz w:val="24"/>
                <w:szCs w:val="24"/>
                <w:highlight w:val="none"/>
              </w:rPr>
              <w:t xml:space="preserve">智能夹具综合实训平台</w:t>
            </w:r>
            <w:r/>
          </w:p>
        </w:tc>
        <w:tc>
          <w:tcPr>
            <w:gridSpan w:val="2"/>
            <w:tcBorders>
              <w:top w:val="single" w:color="auto" w:sz="4" w:space="0"/>
              <w:left w:val="single" w:color="auto" w:sz="4" w:space="0"/>
              <w:bottom w:val="single" w:color="auto" w:sz="4" w:space="0"/>
              <w:right w:val="single" w:color="auto" w:sz="4" w:space="0"/>
            </w:tcBorders>
            <w:tcW w:w="3494" w:type="pct"/>
            <w:vAlign w:val="center"/>
            <w:textDirection w:val="lrTb"/>
            <w:noWrap w:val="false"/>
          </w:tcPr>
          <w:p>
            <w:pPr>
              <w:numPr>
                <w:ilvl w:val="0"/>
                <w:numId w:val="14"/>
              </w:numPr>
              <w:rPr>
                <w:rFonts w:hint="eastAsia" w:ascii="宋体" w:hAnsi="宋体" w:cs="宋体"/>
                <w:sz w:val="24"/>
                <w:szCs w:val="24"/>
                <w:highlight w:val="none"/>
              </w:rPr>
            </w:pPr>
            <w:r>
              <w:rPr>
                <w:rFonts w:hint="eastAsia" w:ascii="宋体" w:hAnsi="宋体" w:cs="宋体"/>
                <w:sz w:val="24"/>
                <w:szCs w:val="24"/>
                <w:highlight w:val="none"/>
              </w:rPr>
              <w:t xml:space="preserve">设备需采用模块化设计，集成了七轴工业机器人、西门子PLC、实训台主体、气路控制部分、电路控制部分、伺服控制部分、工件仓储部分、安全防护模块等八大模块。</w:t>
            </w:r>
            <w:r/>
          </w:p>
          <w:p>
            <w:pPr>
              <w:numPr>
                <w:ilvl w:val="0"/>
                <w:numId w:val="14"/>
              </w:numPr>
              <w:rPr>
                <w:rFonts w:hint="eastAsia" w:ascii="宋体" w:hAnsi="宋体" w:cs="宋体"/>
                <w:sz w:val="24"/>
                <w:szCs w:val="24"/>
                <w:highlight w:val="none"/>
              </w:rPr>
            </w:pPr>
            <w:r>
              <w:rPr>
                <w:rFonts w:hint="eastAsia" w:ascii="宋体" w:hAnsi="宋体" w:cs="宋体"/>
                <w:sz w:val="24"/>
                <w:szCs w:val="24"/>
                <w:highlight w:val="none"/>
              </w:rPr>
              <w:t xml:space="preserve">具备智能夹具设计、智能夹具拆装调试、PLC 编程、机器人调试、工业互联网通讯测试等功能。</w:t>
            </w:r>
            <w:r/>
          </w:p>
          <w:p>
            <w:pPr>
              <w:numPr>
                <w:ilvl w:val="0"/>
                <w:numId w:val="14"/>
              </w:numP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可完成智能夹具调试与控制、机器人末端夹具调试与控制、机器人示教编程及PLC编程调试等任务。</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left"/>
              <w:spacing w:before="157" w:after="157"/>
              <w:rPr>
                <w:rFonts w:hint="eastAsia" w:ascii="宋体" w:hAnsi="宋体" w:cs="宋体"/>
                <w:b/>
                <w:sz w:val="24"/>
                <w:szCs w:val="24"/>
                <w:highlight w:val="none"/>
              </w:rPr>
            </w:pPr>
            <w:r>
              <w:rPr>
                <w:rFonts w:hint="eastAsia" w:ascii="宋体" w:hAnsi="宋体" w:cs="宋体"/>
                <w:b/>
                <w:sz w:val="24"/>
                <w:szCs w:val="24"/>
                <w:highlight w:val="none"/>
              </w:rPr>
            </w:r>
            <w:r/>
          </w:p>
        </w:tc>
      </w:tr>
      <w:tr>
        <w:trPr>
          <w:jc w:val="center"/>
          <w:trHeight w:val="1165"/>
        </w:trPr>
        <w:tc>
          <w:tcPr>
            <w:gridSpan w:val="3"/>
            <w:tcBorders>
              <w:top w:val="single" w:color="auto" w:sz="4" w:space="0"/>
              <w:left w:val="single" w:color="auto" w:sz="4" w:space="0"/>
              <w:bottom w:val="single" w:color="auto" w:sz="4" w:space="0"/>
              <w:right w:val="single" w:color="auto" w:sz="4" w:space="0"/>
            </w:tcBorders>
            <w:tcW w:w="2114" w:type="pct"/>
            <w:vAlign w:val="center"/>
            <w:textDirection w:val="lrTb"/>
            <w:noWrap w:val="false"/>
          </w:tcPr>
          <w:p>
            <w:pPr>
              <w:jc w:val="left"/>
              <w:spacing w:before="157" w:after="157"/>
              <w:rPr>
                <w:rFonts w:hint="eastAsia" w:ascii="宋体" w:hAnsi="宋体" w:cs="宋体"/>
                <w:b/>
                <w:sz w:val="24"/>
                <w:szCs w:val="24"/>
                <w:highlight w:val="none"/>
              </w:rPr>
            </w:pPr>
            <w:r>
              <w:rPr>
                <w:rFonts w:hint="eastAsia" w:ascii="宋体" w:hAnsi="宋体" w:cs="宋体"/>
                <w:sz w:val="24"/>
                <w:szCs w:val="24"/>
                <w:highlight w:val="none"/>
              </w:rPr>
              <w:t xml:space="preserve">部门（签字盖章）：</w:t>
            </w:r>
            <w:r/>
          </w:p>
        </w:tc>
        <w:tc>
          <w:tcPr>
            <w:gridSpan w:val="2"/>
            <w:tcBorders>
              <w:top w:val="single" w:color="auto" w:sz="4" w:space="0"/>
              <w:left w:val="single" w:color="auto" w:sz="4" w:space="0"/>
              <w:bottom w:val="single" w:color="auto" w:sz="4" w:space="0"/>
              <w:right w:val="single" w:color="auto" w:sz="4" w:space="0"/>
            </w:tcBorders>
            <w:tcW w:w="2885" w:type="pct"/>
            <w:vAlign w:val="center"/>
            <w:textDirection w:val="lrTb"/>
            <w:noWrap w:val="false"/>
          </w:tcPr>
          <w:p>
            <w:pPr>
              <w:jc w:val="left"/>
              <w:spacing w:before="157" w:after="157"/>
              <w:rPr>
                <w:rFonts w:hint="eastAsia" w:ascii="宋体" w:hAnsi="宋体" w:cs="宋体"/>
                <w:b/>
                <w:sz w:val="24"/>
                <w:szCs w:val="24"/>
                <w:highlight w:val="none"/>
              </w:rPr>
            </w:pPr>
            <w:r>
              <w:rPr>
                <w:rFonts w:hint="eastAsia" w:ascii="宋体" w:hAnsi="宋体" w:cs="宋体"/>
                <w:sz w:val="24"/>
                <w:szCs w:val="24"/>
                <w:highlight w:val="none"/>
              </w:rPr>
              <w:t xml:space="preserve">项目负责人：</w:t>
            </w:r>
            <w:r/>
          </w:p>
        </w:tc>
      </w:tr>
    </w:tbl>
    <w:p>
      <w:pPr>
        <w:ind w:firstLine="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无形资产</w:t>
      </w:r>
      <w:r>
        <w:rPr>
          <w:rFonts w:hint="eastAsia" w:ascii="宋体" w:hAnsi="宋体" w:cs="宋体"/>
          <w:b/>
          <w:bCs/>
          <w:sz w:val="24"/>
          <w:szCs w:val="24"/>
          <w:highlight w:val="none"/>
          <w:lang w:val="en-US" w:eastAsia="zh-CN"/>
        </w:rPr>
        <w:t xml:space="preserve">部分：</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乙方所提供的服务必须符合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采购需求里技术参数 </w:t>
      </w:r>
      <w:r>
        <w:rPr>
          <w:rFonts w:hint="eastAsia" w:ascii="宋体" w:hAnsi="宋体" w:eastAsia="宋体" w:cs="宋体"/>
          <w:sz w:val="24"/>
          <w:szCs w:val="24"/>
          <w:highlight w:val="none"/>
        </w:rPr>
        <w:t xml:space="preserve">和</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ff0000"/>
          <w:sz w:val="24"/>
          <w:szCs w:val="24"/>
          <w:highlight w:val="none"/>
        </w:rPr>
        <w:t xml:space="preserve">号</w:t>
      </w:r>
      <w:r>
        <w:rPr>
          <w:rFonts w:hint="eastAsia" w:ascii="宋体" w:hAnsi="宋体" w:eastAsia="宋体" w:cs="宋体"/>
          <w:sz w:val="24"/>
          <w:szCs w:val="24"/>
          <w:highlight w:val="none"/>
        </w:rPr>
        <w:t xml:space="preserve">采购招标文件（含技术说明）和投标文件的要求，质保期</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 年。 </w:t>
      </w:r>
      <w:r/>
    </w:p>
    <w:p>
      <w:pPr>
        <w:numPr>
          <w:ilvl w:val="0"/>
          <w:numId w:val="15"/>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验收时间和地点：</w:t>
      </w:r>
      <w:r/>
    </w:p>
    <w:p>
      <w:pPr>
        <w:ind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验收时间：合同签订后</w:t>
      </w:r>
      <w:r>
        <w:rPr>
          <w:rFonts w:hint="eastAsia" w:ascii="宋体" w:hAnsi="宋体" w:eastAsia="宋体" w:cs="宋体"/>
          <w:sz w:val="24"/>
          <w:szCs w:val="24"/>
          <w:highlight w:val="none"/>
          <w:lang w:val="en-US" w:eastAsia="zh-CN"/>
        </w:rPr>
        <w:t xml:space="preserve">90个日历日内</w:t>
      </w:r>
      <w:r>
        <w:rPr>
          <w:rFonts w:hint="eastAsia" w:ascii="宋体" w:hAnsi="宋体" w:eastAsia="宋体" w:cs="宋体"/>
          <w:sz w:val="24"/>
          <w:szCs w:val="24"/>
          <w:highlight w:val="none"/>
        </w:rPr>
        <w:t xml:space="preserve">；</w:t>
      </w:r>
      <w:r/>
    </w:p>
    <w:p>
      <w:pPr>
        <w:ind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验收地点：常州机电职业技术学院；</w:t>
      </w:r>
      <w:r/>
    </w:p>
    <w:p>
      <w:pPr>
        <w:numPr>
          <w:ilvl w:val="0"/>
          <w:numId w:val="16"/>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验收方法：</w:t>
      </w:r>
      <w:r/>
    </w:p>
    <w:p>
      <w:pPr>
        <w:ind w:left="42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①项目主体介绍；</w:t>
      </w:r>
      <w:r/>
    </w:p>
    <w:p>
      <w:pPr>
        <w:ind w:left="42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②软件功能演示；</w:t>
      </w:r>
      <w:r/>
    </w:p>
    <w:p>
      <w:pPr>
        <w:ind w:left="42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③验收指标核对；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3.无形资产验收表</w:t>
      </w:r>
      <w:r/>
    </w:p>
    <w:tbl>
      <w:tblPr>
        <w:tblStyle w:val="801"/>
        <w:tblW w:w="49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851"/>
        <w:gridCol w:w="3002"/>
        <w:gridCol w:w="3674"/>
        <w:gridCol w:w="1283"/>
      </w:tblGrid>
      <w:tr>
        <w:trPr>
          <w:jc w:val="center"/>
          <w:trHeight w:val="385"/>
        </w:trPr>
        <w:tc>
          <w:tcPr>
            <w:gridSpan w:val="2"/>
            <w:tcW w:w="949" w:type="pct"/>
            <w:vAlign w:val="center"/>
            <w:textDirection w:val="lrTb"/>
            <w:noWrap w:val="false"/>
          </w:tcPr>
          <w:p>
            <w:pPr>
              <w:jc w:val="center"/>
              <w:keepLines w:val="0"/>
              <w:keepNext w:val="0"/>
              <w:pageBreakBefore w:val="0"/>
              <w:spacing w:before="157" w:after="157"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项目内容</w:t>
            </w:r>
            <w:r/>
          </w:p>
        </w:tc>
        <w:tc>
          <w:tcPr>
            <w:gridSpan w:val="2"/>
            <w:tcW w:w="3397" w:type="pct"/>
            <w:vAlign w:val="center"/>
            <w:textDirection w:val="lrTb"/>
            <w:noWrap w:val="false"/>
          </w:tcPr>
          <w:p>
            <w:pPr>
              <w:jc w:val="center"/>
              <w:keepLines w:val="0"/>
              <w:keepNext w:val="0"/>
              <w:pageBreakBefore w:val="0"/>
              <w:spacing w:before="157" w:after="157"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功能要求</w:t>
            </w:r>
            <w:r/>
          </w:p>
        </w:tc>
        <w:tc>
          <w:tcPr>
            <w:tcW w:w="652" w:type="pct"/>
            <w:vAlign w:val="center"/>
            <w:textDirection w:val="lrTb"/>
            <w:noWrap w:val="false"/>
          </w:tcPr>
          <w:p>
            <w:pPr>
              <w:jc w:val="center"/>
              <w:keepLines w:val="0"/>
              <w:keepNext w:val="0"/>
              <w:pageBreakBefore w:val="0"/>
              <w:spacing w:before="157" w:after="157"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验收结果</w:t>
            </w:r>
            <w:r/>
          </w:p>
        </w:tc>
      </w:tr>
      <w:tr>
        <w:trPr>
          <w:jc w:val="center"/>
          <w:trHeight w:val="385"/>
        </w:trPr>
        <w:tc>
          <w:tcPr>
            <w:tcW w:w="516" w:type="pct"/>
            <w:vAlign w:val="center"/>
            <w:vMerge w:val="restart"/>
            <w:textDirection w:val="lrTb"/>
            <w:noWrap w:val="false"/>
          </w:tcPr>
          <w:p>
            <w:pPr>
              <w:jc w:val="center"/>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p>
            <w:pPr>
              <w:jc w:val="center"/>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p>
            <w:pPr>
              <w:jc w:val="center"/>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p>
            <w:pPr>
              <w:jc w:val="center"/>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p>
            <w:pPr>
              <w:jc w:val="center"/>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t xml:space="preserve">智能制造产线夹具设计与调试实训室建设项目</w:t>
            </w:r>
            <w:r/>
          </w:p>
        </w:tc>
        <w:tc>
          <w:tcPr>
            <w:shd w:val="clear" w:color="auto" w:fill="auto"/>
            <w:tcW w:w="433" w:type="pct"/>
            <w:vAlign w:val="center"/>
            <w:textDirection w:val="lrTb"/>
            <w:noWrap w:val="false"/>
          </w:tcPr>
          <w:p>
            <w:pPr>
              <w:jc w:val="center"/>
              <w:keepLines w:val="0"/>
              <w:keepNext w:val="0"/>
              <w:pageBreakBefore w:val="0"/>
              <w:spacing w:before="157" w:after="157" w:line="240" w:lineRule="auto"/>
              <w:widowControl/>
              <w:rPr>
                <w:rFonts w:hint="eastAsia" w:ascii="宋体" w:hAnsi="宋体" w:eastAsia="宋体" w:cs="宋体"/>
                <w:sz w:val="24"/>
                <w:szCs w:val="24"/>
                <w:highlight w:val="none"/>
                <w:lang w:val="en-US" w:eastAsia="zh-CN" w:bidi="th-TH"/>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数字孪生软件</w:t>
            </w:r>
            <w:r/>
          </w:p>
        </w:tc>
        <w:tc>
          <w:tcPr>
            <w:gridSpan w:val="2"/>
            <w:shd w:val="clear" w:color="auto" w:fill="auto"/>
            <w:tcW w:w="3397" w:type="pct"/>
            <w:vAlign w:val="center"/>
            <w:textDirection w:val="lrTb"/>
            <w:noWrap w:val="false"/>
          </w:tcPr>
          <w:p>
            <w:pPr>
              <w:numPr>
                <w:ilvl w:val="0"/>
                <w:numId w:val="17"/>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数字孪生软件需以实际智能夹具实训台为蓝本进行建模，具备与机器人仿真通信，实现实训台信号以及机器人动作的实时仿真。</w:t>
            </w:r>
            <w:r/>
          </w:p>
          <w:p>
            <w:pPr>
              <w:numPr>
                <w:ilvl w:val="0"/>
                <w:numId w:val="17"/>
              </w:numPr>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数字孪生软件与智能夹具实训台匹配使用，仿真动作和信号与智能夹具状态与实训台实际动作一致。</w:t>
            </w:r>
            <w:r/>
          </w:p>
        </w:tc>
        <w:tc>
          <w:tcPr>
            <w:shd w:val="clear" w:color="auto" w:fill="auto"/>
            <w:tcW w:w="652" w:type="pct"/>
            <w:vAlign w:val="center"/>
            <w:textDirection w:val="lrTb"/>
            <w:noWrap w:val="false"/>
          </w:tcPr>
          <w:p>
            <w:pPr>
              <w:jc w:val="left"/>
              <w:keepLines w:val="0"/>
              <w:keepNext w:val="0"/>
              <w:pageBreakBefore w:val="0"/>
              <w:spacing w:before="157" w:after="157" w:line="24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tc>
      </w:tr>
      <w:tr>
        <w:trPr>
          <w:jc w:val="center"/>
          <w:trHeight w:val="385"/>
        </w:trPr>
        <w:tc>
          <w:tcPr>
            <w:tcW w:w="516" w:type="pct"/>
            <w:vAlign w:val="center"/>
            <w:vMerge w:val="continue"/>
            <w:textDirection w:val="lrTb"/>
            <w:noWrap w:val="false"/>
          </w:tcPr>
          <w:p>
            <w:pPr>
              <w:jc w:val="left"/>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tc>
        <w:tc>
          <w:tcPr>
            <w:shd w:val="clear" w:color="auto" w:fill="auto"/>
            <w:tcW w:w="433" w:type="pct"/>
            <w:vAlign w:val="center"/>
            <w:textDirection w:val="lrTb"/>
            <w:noWrap w:val="false"/>
          </w:tcPr>
          <w:p>
            <w:pPr>
              <w:jc w:val="center"/>
              <w:keepLines w:val="0"/>
              <w:keepNext w:val="0"/>
              <w:pageBreakBefore w:val="0"/>
              <w:spacing w:before="157" w:after="157" w:line="240" w:lineRule="auto"/>
              <w:widowControl/>
              <w:rPr>
                <w:rFonts w:hint="eastAsia" w:ascii="宋体" w:hAnsi="宋体" w:eastAsia="宋体" w:cs="宋体"/>
                <w:sz w:val="24"/>
                <w:szCs w:val="24"/>
                <w:highlight w:val="none"/>
                <w:lang w:val="en-US" w:eastAsia="zh-CN" w:bidi="th-TH"/>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夹具虚拟教学软件</w:t>
            </w:r>
            <w:r/>
          </w:p>
        </w:tc>
        <w:tc>
          <w:tcPr>
            <w:gridSpan w:val="2"/>
            <w:shd w:val="clear" w:color="auto" w:fill="auto"/>
            <w:tcW w:w="3397" w:type="pct"/>
            <w:vAlign w:val="center"/>
            <w:textDirection w:val="lrTb"/>
            <w:noWrap w:val="false"/>
          </w:tcPr>
          <w:p>
            <w:pPr>
              <w:numPr>
                <w:ilvl w:val="0"/>
                <w:numId w:val="18"/>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软件具有夹具结构认知、夹具虚拟拆卸、夹具虚拟安装、设备虚拟拆卸、设备虚拟安装、任务考核、分数统计功能。</w:t>
            </w:r>
            <w:r/>
          </w:p>
          <w:p>
            <w:pPr>
              <w:numPr>
                <w:ilvl w:val="0"/>
                <w:numId w:val="18"/>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学习模块虚拟仿真类资源包括：夹具结构、夹具工作运动原理、夹具爆炸图、夹具零件认知等；</w:t>
            </w:r>
            <w:r/>
          </w:p>
          <w:p>
            <w:pPr>
              <w:numPr>
                <w:ilvl w:val="0"/>
                <w:numId w:val="18"/>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学习模块视频类资源包括：夹具拆卸流程与夹具结构运动流程；</w:t>
            </w:r>
            <w:r/>
          </w:p>
          <w:p>
            <w:pPr>
              <w:numPr>
                <w:ilvl w:val="0"/>
                <w:numId w:val="18"/>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训练模块包括：夹具结构拆卸与安装；</w:t>
            </w:r>
            <w:r/>
          </w:p>
          <w:p>
            <w:pPr>
              <w:numPr>
                <w:ilvl w:val="0"/>
                <w:numId w:val="18"/>
              </w:numPr>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考核模块包括：夹具结构拆卸与安装；</w:t>
            </w:r>
            <w:r/>
          </w:p>
        </w:tc>
        <w:tc>
          <w:tcPr>
            <w:shd w:val="clear" w:color="auto" w:fill="auto"/>
            <w:tcW w:w="652" w:type="pct"/>
            <w:vAlign w:val="center"/>
            <w:textDirection w:val="lrTb"/>
            <w:noWrap w:val="false"/>
          </w:tcPr>
          <w:p>
            <w:pPr>
              <w:jc w:val="left"/>
              <w:keepLines w:val="0"/>
              <w:keepNext w:val="0"/>
              <w:pageBreakBefore w:val="0"/>
              <w:spacing w:before="157" w:after="157" w:line="24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tc>
      </w:tr>
      <w:tr>
        <w:trPr>
          <w:jc w:val="center"/>
          <w:trHeight w:val="385"/>
        </w:trPr>
        <w:tc>
          <w:tcPr>
            <w:tcW w:w="516" w:type="pct"/>
            <w:vAlign w:val="center"/>
            <w:vMerge w:val="continue"/>
            <w:textDirection w:val="lrTb"/>
            <w:noWrap w:val="false"/>
          </w:tcPr>
          <w:p>
            <w:pPr>
              <w:jc w:val="left"/>
              <w:keepLines w:val="0"/>
              <w:keepNext w:val="0"/>
              <w:pageBreakBefore w:val="0"/>
              <w:spacing w:before="157" w:after="157" w:line="240" w:lineRule="auto"/>
              <w:rPr>
                <w:rFonts w:hint="eastAsia" w:ascii="宋体" w:hAnsi="宋体" w:eastAsia="宋体" w:cs="宋体"/>
                <w:b/>
                <w:bCs/>
                <w:sz w:val="24"/>
                <w:szCs w:val="24"/>
                <w:highlight w:val="none"/>
                <w:lang w:bidi="th-TH"/>
              </w:rPr>
            </w:pPr>
            <w:r>
              <w:rPr>
                <w:rFonts w:hint="eastAsia" w:ascii="宋体" w:hAnsi="宋体" w:eastAsia="宋体" w:cs="宋体"/>
                <w:b/>
                <w:bCs/>
                <w:sz w:val="24"/>
                <w:szCs w:val="24"/>
                <w:highlight w:val="none"/>
                <w:lang w:bidi="th-TH"/>
              </w:rPr>
            </w:r>
            <w:r/>
          </w:p>
        </w:tc>
        <w:tc>
          <w:tcPr>
            <w:shd w:val="clear" w:color="auto" w:fill="auto"/>
            <w:tcW w:w="433" w:type="pct"/>
            <w:vAlign w:val="center"/>
            <w:textDirection w:val="lrTb"/>
            <w:noWrap w:val="false"/>
          </w:tcPr>
          <w:p>
            <w:pPr>
              <w:jc w:val="center"/>
              <w:keepLines w:val="0"/>
              <w:keepNext w:val="0"/>
              <w:pageBreakBefore w:val="0"/>
              <w:spacing w:before="157" w:after="157" w:line="240" w:lineRule="auto"/>
              <w:widowControl/>
              <w:rPr>
                <w:rFonts w:hint="eastAsia" w:ascii="宋体" w:hAnsi="宋体" w:eastAsia="宋体" w:cs="宋体"/>
                <w:sz w:val="24"/>
                <w:szCs w:val="24"/>
                <w:highlight w:val="none"/>
                <w:lang w:val="en-US" w:eastAsia="zh-CN" w:bidi="th-TH"/>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智能产线夹具资源包</w:t>
            </w:r>
            <w:r/>
          </w:p>
        </w:tc>
        <w:tc>
          <w:tcPr>
            <w:gridSpan w:val="2"/>
            <w:shd w:val="clear" w:color="auto" w:fill="auto"/>
            <w:tcW w:w="3397" w:type="pct"/>
            <w:vAlign w:val="center"/>
            <w:textDirection w:val="lrTb"/>
            <w:noWrap w:val="false"/>
          </w:tcPr>
          <w:p>
            <w:pPr>
              <w:numPr>
                <w:ilvl w:val="0"/>
                <w:numId w:val="19"/>
              </w:numP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智能产线夹具资源包需包含以下六个实际产线案例：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①模具电极项目案例；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②模具型芯项目案例；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③发动机活塞项目案例；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④音响外壳项目案例；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⑤新能源压缩机涡旋叶轮项目案例；</w:t>
            </w:r>
            <w:r/>
          </w:p>
          <w:p>
            <w:pPr>
              <w:numPr>
                <w:ilvl w:val="0"/>
                <w:numId w:val="0"/>
              </w:numPr>
              <w:keepLines w:val="0"/>
              <w:keepNext w:val="0"/>
              <w:pageBreakBefore w:val="0"/>
              <w:spacing w:after="0" w:line="240" w:lineRule="auto"/>
              <w:widowControl w:val="off"/>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⑥高速电机轴芯项目案例；</w:t>
            </w:r>
            <w:r/>
          </w:p>
          <w:p>
            <w:pPr>
              <w:numPr>
                <w:ilvl w:val="0"/>
                <w:numId w:val="19"/>
              </w:numPr>
              <w:keepLines w:val="0"/>
              <w:keepNext w:val="0"/>
              <w:pageBreakBefore w:val="0"/>
              <w:spacing w:after="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资源包需包含以上案例2D图档、3D模型、应用视频、教学资料等。其中2D图档需包含：产品图、零件图、装配图、爆炸图图、生产工艺图等；3D模型需包含：零件3D模型、夹具3D装配模型等；应用视频需包含：夹具结构动作视频、夹具拆装视频等；教学资料需包含：相关夹具设计流程就设计方法资料、夹具拆装真实过程记录资料等。</w:t>
            </w:r>
            <w:r/>
          </w:p>
        </w:tc>
        <w:tc>
          <w:tcPr>
            <w:shd w:val="clear" w:color="auto" w:fill="auto"/>
            <w:tcW w:w="652" w:type="pct"/>
            <w:vAlign w:val="center"/>
            <w:textDirection w:val="lrTb"/>
            <w:noWrap w:val="false"/>
          </w:tcPr>
          <w:p>
            <w:pPr>
              <w:jc w:val="left"/>
              <w:keepLines w:val="0"/>
              <w:keepNext w:val="0"/>
              <w:pageBreakBefore w:val="0"/>
              <w:spacing w:before="157" w:after="157" w:line="24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tc>
      </w:tr>
      <w:tr>
        <w:trPr>
          <w:jc w:val="center"/>
          <w:trHeight w:val="437"/>
        </w:trPr>
        <w:tc>
          <w:tcPr>
            <w:gridSpan w:val="3"/>
            <w:tcW w:w="2477" w:type="pct"/>
            <w:vAlign w:val="center"/>
            <w:textDirection w:val="lrTb"/>
            <w:noWrap w:val="false"/>
          </w:tcPr>
          <w:p>
            <w:pPr>
              <w:jc w:val="left"/>
              <w:keepLines w:val="0"/>
              <w:keepNext w:val="0"/>
              <w:pageBreakBefore w:val="0"/>
              <w:spacing w:before="157" w:after="157" w:line="24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部门（签字盖章）：</w:t>
            </w:r>
            <w:r/>
          </w:p>
        </w:tc>
        <w:tc>
          <w:tcPr>
            <w:gridSpan w:val="2"/>
            <w:tcW w:w="2522" w:type="pct"/>
            <w:vAlign w:val="center"/>
            <w:textDirection w:val="lrTb"/>
            <w:noWrap w:val="false"/>
          </w:tcPr>
          <w:p>
            <w:pPr>
              <w:jc w:val="left"/>
              <w:keepLines w:val="0"/>
              <w:keepNext w:val="0"/>
              <w:pageBreakBefore w:val="0"/>
              <w:spacing w:before="157" w:after="157" w:line="24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项目负责人：</w:t>
            </w:r>
            <w:r/>
          </w:p>
        </w:tc>
      </w:tr>
    </w:tbl>
    <w:p>
      <w:pPr>
        <w:rPr>
          <w:highlight w:val="none"/>
        </w:rPr>
      </w:pPr>
      <w:r>
        <w:rPr>
          <w:highlight w:val="none"/>
        </w:rPr>
      </w:r>
      <w:r/>
    </w:p>
    <w:p>
      <w:pPr>
        <w:numPr>
          <w:ilvl w:val="0"/>
          <w:numId w:val="0"/>
        </w:numPr>
        <w:ind w:left="500" w:hanging="500"/>
        <w:spacing w:line="360" w:lineRule="auto"/>
        <w:rPr>
          <w:rFonts w:hint="eastAsia" w:ascii="宋体" w:hAnsi="宋体" w:eastAsia="宋体" w:cs="宋体"/>
          <w:b/>
          <w:color w:val="auto"/>
          <w:sz w:val="24"/>
          <w:highlight w:val="none"/>
          <w:lang w:eastAsia="zh-CN"/>
        </w:rPr>
        <w:outlineLvl w:val="1"/>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lang w:eastAsia="zh-CN"/>
        </w:rPr>
        <w:t xml:space="preserve">免费保修期及售后服务：</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质保期：不少于</w:t>
      </w:r>
      <w:r>
        <w:rPr>
          <w:rFonts w:hint="eastAsia" w:ascii="宋体" w:hAnsi="宋体" w:eastAsia="宋体" w:cs="宋体"/>
          <w:sz w:val="24"/>
          <w:szCs w:val="24"/>
          <w:highlight w:val="none"/>
          <w:u w:val="none"/>
          <w:lang w:val="en-US" w:eastAsia="zh-CN"/>
        </w:rPr>
        <w:t xml:space="preserve">1</w:t>
      </w:r>
      <w:r>
        <w:rPr>
          <w:rFonts w:hint="eastAsia" w:ascii="宋体" w:hAnsi="宋体" w:eastAsia="宋体" w:cs="宋体"/>
          <w:sz w:val="24"/>
          <w:szCs w:val="24"/>
          <w:highlight w:val="none"/>
        </w:rPr>
        <w:t xml:space="preserve">年，质保期自采购人代表在验收单上签字之日起计算。</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（1）质保期内，中标人负责联系产品厂家对其提供的设备、软件进行维修或更换，不收取额外费用。</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（2）质保期内，在接到校方报修通知后，中标人维修人员需按约定赶到现场提供故障排除服务，如涉及非本次采购的其他网络设备故障，仍需协助校方排除故障，直至校方系统完全恢复正常。</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ind w:firstLine="525"/>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（4）技术培训要求：投标人应安排专业技术人员提供现场技术培训，保证使用人员能正常操作设备的各种功能。</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lang w:val="en-US" w:eastAsia="zh-CN"/>
        </w:rPr>
        <w:t xml:space="preserve">六</w:t>
      </w:r>
      <w:r>
        <w:rPr>
          <w:rFonts w:hint="eastAsia" w:ascii="宋体" w:hAnsi="宋体" w:eastAsia="宋体" w:cs="宋体"/>
          <w:b/>
          <w:bCs/>
          <w:spacing w:val="0"/>
          <w:sz w:val="24"/>
          <w:szCs w:val="24"/>
          <w:highlight w:val="none"/>
        </w:rPr>
        <w:t xml:space="preserve">、履约保证金：</w:t>
      </w:r>
      <w:r/>
    </w:p>
    <w:p>
      <w:pPr>
        <w:pStyle w:val="7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为保障合同的有效履行，签订合同前，乙方应先缴纳</w:t>
      </w:r>
      <w:r>
        <w:rPr>
          <w:rFonts w:hint="eastAsia" w:ascii="宋体" w:hAnsi="宋体" w:eastAsia="宋体" w:cs="宋体"/>
          <w:sz w:val="24"/>
          <w:szCs w:val="24"/>
          <w:highlight w:val="none"/>
          <w:u w:val="none"/>
          <w:lang w:val="en-US" w:eastAsia="zh-CN"/>
        </w:rPr>
        <w:t xml:space="preserve">50,000</w:t>
      </w:r>
      <w:r>
        <w:rPr>
          <w:rFonts w:hint="eastAsia" w:ascii="宋体" w:hAnsi="宋体" w:eastAsia="宋体" w:cs="宋体"/>
          <w:sz w:val="24"/>
          <w:szCs w:val="24"/>
          <w:highlight w:val="none"/>
        </w:rPr>
        <w:t xml:space="preserve">履约保证金，计</w:t>
      </w:r>
      <w:r>
        <w:rPr>
          <w:rFonts w:hint="eastAsia" w:ascii="宋体" w:hAnsi="宋体" w:eastAsia="宋体" w:cs="宋体"/>
          <w:sz w:val="24"/>
          <w:szCs w:val="24"/>
          <w:highlight w:val="none"/>
          <w:u w:val="none"/>
          <w:lang w:val="en-US" w:eastAsia="zh-CN"/>
        </w:rPr>
        <w:t xml:space="preserve">50,000</w:t>
      </w:r>
      <w:r>
        <w:rPr>
          <w:rFonts w:hint="eastAsia" w:ascii="宋体" w:hAnsi="宋体" w:eastAsia="宋体" w:cs="宋体"/>
          <w:sz w:val="24"/>
          <w:szCs w:val="24"/>
          <w:highlight w:val="none"/>
        </w:rPr>
        <w:t xml:space="preserve">元；承诺的质保期满后15个工作日内退还履约保证金。（不计息）</w:t>
      </w:r>
      <w:r/>
    </w:p>
    <w:p>
      <w:pPr>
        <w:numPr>
          <w:ilvl w:val="0"/>
          <w:numId w:val="0"/>
        </w:numPr>
        <w:ind w:left="500" w:hanging="50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szCs w:val="24"/>
          <w:highlight w:val="none"/>
          <w:lang w:val="en-US" w:eastAsia="zh-CN" w:bidi="ar-SA"/>
        </w:rPr>
        <w:t xml:space="preserve">七</w:t>
      </w:r>
      <w:r>
        <w:rPr>
          <w:rFonts w:hint="default"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highlight w:val="none"/>
          <w:lang w:val="en-US" w:eastAsia="zh-CN"/>
        </w:rPr>
        <w:t xml:space="preserve">付款方式：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本合同经费按以下第</w:t>
      </w:r>
      <w:r>
        <w:rPr>
          <w:rFonts w:hint="eastAsia" w:ascii="宋体" w:hAnsi="宋体" w:eastAsia="宋体" w:cs="宋体"/>
          <w:sz w:val="24"/>
          <w:szCs w:val="24"/>
          <w:highlight w:val="none"/>
          <w:u w:val="single"/>
          <w:lang w:val="en-US" w:eastAsia="zh-CN"/>
        </w:rPr>
        <w:t xml:space="preserve"> 2 </w:t>
      </w:r>
      <w:r>
        <w:rPr>
          <w:rFonts w:hint="eastAsia" w:ascii="宋体" w:hAnsi="宋体" w:eastAsia="宋体" w:cs="宋体"/>
          <w:sz w:val="24"/>
          <w:szCs w:val="24"/>
          <w:highlight w:val="none"/>
        </w:rPr>
        <w:t xml:space="preserve">种方式支付：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1.一次性支付，支付时间和方式。合同签订后，按验收标准验收合格后15个工作日</w:t>
      </w:r>
      <w:r>
        <w:rPr>
          <w:rFonts w:hint="eastAsia" w:ascii="宋体" w:hAnsi="宋体" w:eastAsia="宋体" w:cs="宋体"/>
          <w:sz w:val="24"/>
          <w:szCs w:val="24"/>
          <w:highlight w:val="none"/>
          <w:lang w:eastAsia="zh-CN"/>
        </w:rPr>
        <w:t xml:space="preserve">内支</w:t>
      </w:r>
      <w:r>
        <w:rPr>
          <w:rFonts w:hint="eastAsia" w:ascii="宋体" w:hAnsi="宋体" w:eastAsia="宋体" w:cs="宋体"/>
          <w:sz w:val="24"/>
          <w:szCs w:val="24"/>
          <w:highlight w:val="none"/>
        </w:rPr>
        <w:t xml:space="preserve">付合同总额的100%。</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2.分期支付，支付时间和方式：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（1）合同签订后15个工作日内甲方支付给乙方合同总额的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30  %</w:t>
      </w:r>
      <w:r>
        <w:rPr>
          <w:rFonts w:hint="eastAsia" w:ascii="宋体" w:hAnsi="宋体" w:eastAsia="宋体" w:cs="宋体"/>
          <w:sz w:val="24"/>
          <w:szCs w:val="24"/>
          <w:highlight w:val="none"/>
        </w:rPr>
        <w:t xml:space="preserve">作为预付款；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（2）余款待验收合格后15个工作日内甲方支付乙方合同总额的</w:t>
      </w:r>
      <w:r>
        <w:rPr>
          <w:rFonts w:hint="eastAsia" w:ascii="宋体" w:hAnsi="宋体" w:eastAsia="宋体" w:cs="宋体"/>
          <w:sz w:val="24"/>
          <w:szCs w:val="24"/>
          <w:highlight w:val="none"/>
          <w:u w:val="single"/>
        </w:rPr>
        <w:t xml:space="preserve"> 70%</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3.其他约定的支付方式，约定如下：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0"/>
          <w:numId w:val="0"/>
        </w:numPr>
        <w:ind w:left="500" w:hanging="50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szCs w:val="24"/>
          <w:highlight w:val="none"/>
          <w:lang w:val="en-US" w:eastAsia="zh-CN" w:bidi="ar-SA"/>
        </w:rPr>
        <w:t xml:space="preserve">八</w:t>
      </w:r>
      <w:r>
        <w:rPr>
          <w:rFonts w:hint="default"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highlight w:val="none"/>
          <w:lang w:val="en-US" w:eastAsia="zh-CN"/>
        </w:rPr>
        <w:t xml:space="preserve">项目预算价、最高限价：</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预算金额：人民币</w:t>
      </w:r>
      <w:r>
        <w:rPr>
          <w:rFonts w:hint="eastAsia" w:cs="Times New Roman"/>
          <w:color w:val="auto"/>
          <w:sz w:val="24"/>
          <w:szCs w:val="24"/>
          <w:highlight w:val="none"/>
          <w:lang w:val="en-US" w:eastAsia="zh-CN" w:bidi="ar-SA"/>
        </w:rPr>
        <w:t xml:space="preserve">180万元</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outlineLvl w:val="9"/>
      </w:pPr>
      <w:r>
        <w:rPr>
          <w:rFonts w:hint="eastAsia" w:ascii="Times New Roman" w:hAnsi="Times New Roman" w:eastAsia="宋体" w:cs="Times New Roman"/>
          <w:color w:val="auto"/>
          <w:sz w:val="24"/>
          <w:szCs w:val="24"/>
          <w:highlight w:val="none"/>
          <w:lang w:val="en-US" w:eastAsia="zh-CN" w:bidi="ar-SA"/>
        </w:rPr>
        <w:t xml:space="preserve">最高限价：人民币</w:t>
      </w:r>
      <w:r>
        <w:rPr>
          <w:rFonts w:hint="eastAsia" w:cs="Times New Roman"/>
          <w:color w:val="auto"/>
          <w:sz w:val="24"/>
          <w:szCs w:val="24"/>
          <w:highlight w:val="none"/>
          <w:lang w:val="en-US" w:eastAsia="zh-CN" w:bidi="ar-SA"/>
        </w:rPr>
        <w:t xml:space="preserve">180万元</w:t>
      </w:r>
      <w:r>
        <w:rPr>
          <w:rFonts w:hint="eastAsia" w:ascii="Times New Roman" w:hAnsi="Times New Roman" w:eastAsia="宋体" w:cs="Times New Roman"/>
          <w:color w:val="auto"/>
          <w:sz w:val="24"/>
          <w:szCs w:val="24"/>
          <w:highlight w:val="none"/>
          <w:lang w:val="en-US" w:eastAsia="zh-CN" w:bidi="ar-SA"/>
        </w:rPr>
        <w:t xml:space="preserve">，</w:t>
      </w:r>
      <w:r>
        <w:rPr>
          <w:rFonts w:hint="eastAsia" w:cs="Times New Roman"/>
          <w:color w:val="auto"/>
          <w:sz w:val="24"/>
          <w:szCs w:val="24"/>
          <w:highlight w:val="none"/>
          <w:lang w:val="en-US" w:eastAsia="zh-CN" w:bidi="ar-SA"/>
        </w:rPr>
        <w:t xml:space="preserve">投标人</w:t>
      </w:r>
      <w:r>
        <w:rPr>
          <w:rFonts w:hint="eastAsia" w:ascii="Times New Roman" w:hAnsi="Times New Roman" w:eastAsia="宋体" w:cs="Times New Roman"/>
          <w:color w:val="auto"/>
          <w:sz w:val="24"/>
          <w:szCs w:val="24"/>
          <w:highlight w:val="none"/>
          <w:lang w:val="en-US" w:eastAsia="zh-CN" w:bidi="ar-SA"/>
        </w:rPr>
        <w:t xml:space="preserve">的报价不得高于最高限价，否则作为无效</w:t>
      </w:r>
      <w:r>
        <w:rPr>
          <w:rFonts w:hint="eastAsia" w:cs="Times New Roman"/>
          <w:color w:val="auto"/>
          <w:sz w:val="24"/>
          <w:szCs w:val="24"/>
          <w:highlight w:val="none"/>
          <w:lang w:val="en-US" w:eastAsia="zh-CN" w:bidi="ar-SA"/>
        </w:rPr>
        <w:t xml:space="preserve">投标</w:t>
      </w:r>
      <w:r>
        <w:rPr>
          <w:rFonts w:hint="eastAsia" w:ascii="Times New Roman" w:hAnsi="Times New Roman" w:eastAsia="宋体" w:cs="Times New Roman"/>
          <w:color w:val="auto"/>
          <w:sz w:val="24"/>
          <w:szCs w:val="24"/>
          <w:highlight w:val="none"/>
          <w:lang w:val="en-US" w:eastAsia="zh-CN" w:bidi="ar-SA"/>
        </w:rPr>
        <w:t xml:space="preserve">处理。</w:t>
      </w:r>
      <w:r/>
    </w:p>
    <w:p>
      <w:pPr>
        <w:numPr>
          <w:ilvl w:val="0"/>
          <w:numId w:val="0"/>
        </w:numPr>
        <w:ind w:left="500" w:hanging="50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szCs w:val="24"/>
          <w:highlight w:val="none"/>
          <w:lang w:val="en-US" w:eastAsia="zh-CN" w:bidi="ar-SA"/>
        </w:rPr>
        <w:t xml:space="preserve">九</w:t>
      </w:r>
      <w:r>
        <w:rPr>
          <w:rFonts w:hint="default"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highlight w:val="none"/>
          <w:lang w:val="en-US" w:eastAsia="zh-CN"/>
        </w:rPr>
        <w:t xml:space="preserve">按照《政府采购促进中小企业发展管理办法》（财库〔2020〕46号）的相关要求，采购人应当面向中小企业预留采购份额，本项目面向中小企业预留份额</w:t>
      </w:r>
      <w:r>
        <w:rPr>
          <w:rFonts w:hint="eastAsia" w:ascii="宋体" w:hAnsi="宋体" w:cs="宋体"/>
          <w:b/>
          <w:color w:val="auto"/>
          <w:sz w:val="24"/>
          <w:highlight w:val="none"/>
          <w:lang w:val="en-US" w:eastAsia="zh-CN"/>
        </w:rPr>
        <w:t xml:space="preserve">100</w:t>
      </w:r>
      <w:r>
        <w:rPr>
          <w:rFonts w:hint="eastAsia" w:ascii="宋体" w:hAnsi="宋体" w:eastAsia="宋体" w:cs="宋体"/>
          <w:b/>
          <w:color w:val="auto"/>
          <w:sz w:val="24"/>
          <w:highlight w:val="none"/>
          <w:lang w:val="en-US" w:eastAsia="zh-CN"/>
        </w:rPr>
        <w:t xml:space="preserve">%，如果未设置预留份额情形，请附相关情况说明：</w:t>
      </w:r>
      <w:r/>
    </w:p>
    <w:p>
      <w:pPr>
        <w:numPr>
          <w:ilvl w:val="0"/>
          <w:numId w:val="0"/>
        </w:numPr>
        <w:ind w:left="500" w:hanging="500"/>
        <w:spacing w:line="360" w:lineRule="auto"/>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szCs w:val="24"/>
          <w:highlight w:val="none"/>
          <w:lang w:val="en-US" w:eastAsia="zh-CN" w:bidi="ar-SA"/>
        </w:rPr>
        <w:t xml:space="preserve">十</w:t>
      </w:r>
      <w:r>
        <w:rPr>
          <w:rFonts w:hint="default" w:ascii="宋体" w:hAnsi="宋体" w:eastAsia="宋体" w:cs="宋体"/>
          <w:b/>
          <w:color w:val="auto"/>
          <w:sz w:val="24"/>
          <w:szCs w:val="24"/>
          <w:highlight w:val="none"/>
          <w:lang w:val="en-US" w:eastAsia="zh-CN" w:bidi="ar-SA"/>
        </w:rPr>
        <w:t xml:space="preserve">、</w:t>
      </w:r>
      <w:r>
        <w:rPr>
          <w:rFonts w:hint="eastAsia" w:ascii="宋体" w:hAnsi="宋体" w:eastAsia="宋体" w:cs="宋体"/>
          <w:b/>
          <w:color w:val="auto"/>
          <w:sz w:val="24"/>
          <w:highlight w:val="none"/>
          <w:lang w:val="en-US" w:eastAsia="zh-CN"/>
        </w:rPr>
        <w:t xml:space="preserve">货物包装、快递要求</w:t>
      </w:r>
      <w:r/>
    </w:p>
    <w:p>
      <w:pPr>
        <w:pStyle w:val="788"/>
        <w:ind w:firstLine="480"/>
        <w:pageBreakBefore w:val="0"/>
        <w:spacing w:line="360" w:lineRule="auto"/>
        <w:tabs>
          <w:tab w:val="center" w:pos="4153" w:leader="none"/>
          <w:tab w:val="clear" w:pos="7143" w:leader="none"/>
          <w:tab w:val="right" w:pos="8306" w:leader="none"/>
          <w:tab w:val="clear" w:pos="14287" w:leader="none"/>
        </w:tabs>
        <w:rPr>
          <w:rFonts w:hint="eastAsia" w:hAnsi="宋体" w:cs="宋体"/>
          <w:b/>
          <w:color w:val="auto"/>
          <w:sz w:val="36"/>
          <w:szCs w:val="36"/>
          <w:highlight w:val="none"/>
        </w:rPr>
      </w:pPr>
      <w:r>
        <w:rPr>
          <w:rFonts w:hint="default" w:ascii="Times New Roman" w:hAnsi="Times New Roman"/>
          <w:color w:val="auto"/>
          <w:sz w:val="24"/>
          <w:szCs w:val="24"/>
          <w:highlight w:val="none"/>
          <w:lang w:val="en-US" w:eastAsia="zh-CN"/>
        </w:rPr>
        <w:t xml:space="preserve">包装和运输（如适用，须满足《关于印发〈商品包装政府采购需求标准（试行）〉、〈快递包装政府采购需求标准（试行）〉的通知》（财办库﹝2020﹞123号））</w:t>
      </w:r>
      <w:r/>
    </w:p>
    <w:p>
      <w:pPr>
        <w:jc w:val="left"/>
        <w:spacing w:line="240" w:lineRule="auto"/>
        <w:rPr>
          <w:rFonts w:hint="eastAsia" w:ascii="宋体" w:hAnsi="宋体" w:eastAsia="宋体" w:cs="宋体"/>
          <w:b/>
          <w:color w:val="000000"/>
          <w:sz w:val="36"/>
          <w:szCs w:val="36"/>
          <w:highlight w:val="none"/>
        </w:rPr>
        <w:outlineLvl w:val="9"/>
      </w:pPr>
      <w:r/>
      <w:bookmarkStart w:id="817" w:name="_Toc99301425"/>
      <w:r/>
      <w:bookmarkStart w:id="818" w:name="_Toc19138"/>
      <w:r>
        <w:rPr>
          <w:rFonts w:hint="eastAsia" w:ascii="宋体" w:hAnsi="宋体" w:eastAsia="宋体" w:cs="宋体"/>
          <w:b/>
          <w:color w:val="000000"/>
          <w:sz w:val="36"/>
          <w:szCs w:val="36"/>
          <w:highlight w:val="none"/>
        </w:rPr>
        <w:br w:type="page" w:clear="all"/>
      </w:r>
      <w:r/>
    </w:p>
    <w:p>
      <w:p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第六章   拟签订的合同文本</w:t>
      </w:r>
      <w:bookmarkEnd w:id="817"/>
      <w:r/>
      <w:bookmarkEnd w:id="818"/>
      <w:r/>
      <w:r/>
    </w:p>
    <w:p>
      <w:pPr>
        <w:pStyle w:val="782"/>
        <w:ind w:left="0" w:right="0" w:firstLine="0"/>
        <w:jc w:val="center"/>
        <w:keepLines w:val="0"/>
        <w:keepNext w:val="0"/>
        <w:pageBreakBefore w:val="0"/>
        <w:spacing w:after="0" w:line="360" w:lineRule="auto"/>
        <w:widowControl/>
        <w:rPr>
          <w:rFonts w:hint="eastAsia" w:ascii="宋体" w:hAnsi="宋体" w:eastAsia="宋体" w:cs="宋体"/>
          <w:spacing w:val="0"/>
          <w:sz w:val="28"/>
          <w:szCs w:val="28"/>
          <w:highlight w:val="none"/>
          <w:u w:val="none"/>
        </w:rPr>
      </w:pPr>
      <w:r/>
      <w:bookmarkStart w:id="819" w:name="OLE_LINK4"/>
      <w:r>
        <w:rPr>
          <w:rFonts w:hint="eastAsia" w:ascii="宋体" w:hAnsi="宋体" w:eastAsia="宋体" w:cs="宋体"/>
          <w:b/>
          <w:color w:val="000000"/>
          <w:sz w:val="28"/>
          <w:szCs w:val="28"/>
          <w:highlight w:val="none"/>
        </w:rPr>
        <w:t xml:space="preserve"> </w:t>
      </w:r>
      <w:r>
        <w:rPr>
          <w:rFonts w:hint="eastAsia" w:ascii="宋体" w:hAnsi="宋体" w:eastAsia="宋体" w:cs="宋体"/>
          <w:b/>
          <w:bCs/>
          <w:spacing w:val="0"/>
          <w:sz w:val="28"/>
          <w:szCs w:val="28"/>
          <w:highlight w:val="none"/>
          <w:u w:val="none"/>
        </w:rPr>
        <w:t xml:space="preserve">智能制造产线夹具设计与调试实训室建设项目合同</w:t>
      </w:r>
      <w:r/>
    </w:p>
    <w:p>
      <w:pPr>
        <w:pStyle w:val="782"/>
        <w:ind w:left="0" w:right="0" w:firstLine="0"/>
        <w:jc w:val="left"/>
        <w:keepLines w:val="0"/>
        <w:keepNext w:val="0"/>
        <w:pageBreakBefore w:val="0"/>
        <w:spacing w:after="0" w:line="360" w:lineRule="auto"/>
        <w:widowControl/>
        <w:rPr>
          <w:rFonts w:hint="eastAsia" w:eastAsia="宋体" w:cs="宋体"/>
          <w:spacing w:val="0"/>
          <w:sz w:val="21"/>
          <w:szCs w:val="21"/>
          <w:highlight w:val="none"/>
          <w:u w:val="single"/>
          <w:lang w:val="en-US" w:eastAsia="zh-CN"/>
        </w:rPr>
      </w:pPr>
      <w:r>
        <w:rPr>
          <w:rFonts w:hint="eastAsia" w:ascii="宋体" w:hAnsi="宋体" w:eastAsia="宋体" w:cs="宋体"/>
          <w:spacing w:val="0"/>
          <w:sz w:val="21"/>
          <w:szCs w:val="21"/>
          <w:highlight w:val="none"/>
        </w:rPr>
        <w:t xml:space="preserve">甲方</w:t>
      </w:r>
      <w:r>
        <w:rPr>
          <w:rFonts w:hint="eastAsia"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买方</w:t>
      </w:r>
      <w:r>
        <w:rPr>
          <w:rFonts w:hint="eastAsia"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 </w:t>
      </w:r>
      <w:r>
        <w:rPr>
          <w:rFonts w:hint="eastAsia" w:ascii="宋体" w:hAnsi="宋体" w:eastAsia="宋体" w:cs="宋体"/>
          <w:spacing w:val="0"/>
          <w:sz w:val="21"/>
          <w:szCs w:val="21"/>
          <w:highlight w:val="none"/>
          <w:u w:val="single"/>
        </w:rPr>
        <w:t xml:space="preserve"> 常州机电职业技术学院</w:t>
      </w:r>
      <w:r>
        <w:rPr>
          <w:rFonts w:hint="eastAsia" w:eastAsia="宋体" w:cs="宋体"/>
          <w:spacing w:val="0"/>
          <w:sz w:val="21"/>
          <w:szCs w:val="21"/>
          <w:highlight w:val="none"/>
          <w:u w:val="single"/>
          <w:lang w:val="en-US" w:eastAsia="zh-CN"/>
        </w:rPr>
        <w:t xml:space="preserve">   </w:t>
      </w:r>
      <w:r>
        <w:rPr>
          <w:rFonts w:hint="eastAsia" w:eastAsia="宋体" w:cs="宋体"/>
          <w:spacing w:val="0"/>
          <w:sz w:val="21"/>
          <w:szCs w:val="21"/>
          <w:highlight w:val="none"/>
          <w:u w:val="none"/>
          <w:lang w:val="en-US" w:eastAsia="zh-CN"/>
        </w:rPr>
        <w:t xml:space="preserve">         </w:t>
      </w:r>
      <w:r>
        <w:rPr>
          <w:rFonts w:hint="eastAsia" w:cs="宋体"/>
          <w:spacing w:val="0"/>
          <w:sz w:val="21"/>
          <w:szCs w:val="21"/>
          <w:highlight w:val="none"/>
          <w:u w:val="none"/>
          <w:lang w:val="en-US" w:eastAsia="zh-CN"/>
        </w:rPr>
        <w:t xml:space="preserve">  </w:t>
      </w:r>
      <w:r>
        <w:rPr>
          <w:rFonts w:hint="eastAsia" w:eastAsia="宋体" w:cs="宋体"/>
          <w:spacing w:val="0"/>
          <w:sz w:val="21"/>
          <w:szCs w:val="21"/>
          <w:highlight w:val="none"/>
          <w:u w:val="none"/>
          <w:lang w:val="en-US" w:eastAsia="zh-CN"/>
        </w:rPr>
        <w:t xml:space="preserve">合同编号：</w:t>
      </w:r>
      <w:r>
        <w:rPr>
          <w:rFonts w:hint="eastAsia" w:eastAsia="宋体" w:cs="宋体"/>
          <w:spacing w:val="0"/>
          <w:sz w:val="21"/>
          <w:szCs w:val="21"/>
          <w:highlight w:val="none"/>
          <w:u w:val="single"/>
          <w:lang w:val="en-US" w:eastAsia="zh-CN"/>
        </w:rPr>
        <w:t xml:space="preserve">             </w:t>
      </w:r>
      <w:r/>
    </w:p>
    <w:p>
      <w:pPr>
        <w:pStyle w:val="782"/>
        <w:ind w:left="0" w:right="0" w:firstLine="0"/>
        <w:jc w:val="left"/>
        <w:keepLines w:val="0"/>
        <w:keepNext w:val="0"/>
        <w:pageBreakBefore w:val="0"/>
        <w:spacing w:after="0" w:line="360" w:lineRule="auto"/>
        <w:widowControl/>
        <w:rPr>
          <w:rFonts w:hint="default" w:ascii="宋体" w:hAnsi="宋体" w:eastAsia="宋体" w:cs="宋体"/>
          <w:spacing w:val="0"/>
          <w:sz w:val="21"/>
          <w:szCs w:val="21"/>
          <w:highlight w:val="none"/>
          <w:u w:val="none"/>
          <w:lang w:val="en-US" w:eastAsia="zh-CN"/>
        </w:rPr>
      </w:pPr>
      <w:r>
        <w:rPr>
          <w:rFonts w:hint="eastAsia" w:ascii="宋体" w:hAnsi="宋体" w:eastAsia="宋体" w:cs="宋体"/>
          <w:spacing w:val="0"/>
          <w:sz w:val="21"/>
          <w:szCs w:val="21"/>
          <w:highlight w:val="none"/>
          <w:u w:val="none"/>
        </w:rPr>
        <w:t xml:space="preserve">乙方</w:t>
      </w:r>
      <w:r>
        <w:rPr>
          <w:rFonts w:hint="eastAsia" w:cs="宋体"/>
          <w:spacing w:val="0"/>
          <w:sz w:val="21"/>
          <w:szCs w:val="21"/>
          <w:highlight w:val="none"/>
          <w:u w:val="none"/>
          <w:lang w:eastAsia="zh-CN"/>
        </w:rPr>
        <w:t xml:space="preserve">（</w:t>
      </w:r>
      <w:r>
        <w:rPr>
          <w:rFonts w:hint="eastAsia" w:ascii="宋体" w:hAnsi="宋体" w:eastAsia="宋体" w:cs="宋体"/>
          <w:spacing w:val="0"/>
          <w:sz w:val="21"/>
          <w:szCs w:val="21"/>
          <w:highlight w:val="none"/>
          <w:u w:val="none"/>
        </w:rPr>
        <w:t xml:space="preserve">卖方</w:t>
      </w:r>
      <w:r>
        <w:rPr>
          <w:rFonts w:hint="eastAsia" w:cs="宋体"/>
          <w:spacing w:val="0"/>
          <w:sz w:val="21"/>
          <w:szCs w:val="21"/>
          <w:highlight w:val="none"/>
          <w:u w:val="none"/>
          <w:lang w:eastAsia="zh-CN"/>
        </w:rPr>
        <w:t xml:space="preserve">）</w:t>
      </w:r>
      <w:r>
        <w:rPr>
          <w:rFonts w:hint="eastAsia" w:ascii="宋体" w:hAnsi="宋体" w:eastAsia="宋体" w:cs="宋体"/>
          <w:spacing w:val="0"/>
          <w:sz w:val="21"/>
          <w:szCs w:val="21"/>
          <w:highlight w:val="none"/>
          <w:u w:val="none"/>
        </w:rPr>
        <w:t xml:space="preserve">:</w:t>
      </w:r>
      <w:r>
        <w:rPr>
          <w:rFonts w:hint="eastAsia" w:ascii="宋体" w:hAnsi="宋体" w:eastAsia="宋体" w:cs="宋体"/>
          <w:spacing w:val="0"/>
          <w:sz w:val="21"/>
          <w:szCs w:val="21"/>
          <w:highlight w:val="none"/>
          <w:u w:val="single"/>
        </w:rPr>
        <w:t xml:space="preserve"> </w:t>
      </w:r>
      <w:r>
        <w:rPr>
          <w:rFonts w:hint="eastAsia" w:cs="宋体"/>
          <w:spacing w:val="0"/>
          <w:sz w:val="21"/>
          <w:szCs w:val="21"/>
          <w:highlight w:val="none"/>
          <w:u w:val="single"/>
          <w:lang w:val="en-US" w:eastAsia="zh-CN"/>
        </w:rPr>
        <w:t xml:space="preserve">                              </w:t>
      </w:r>
      <w:r>
        <w:rPr>
          <w:rFonts w:hint="eastAsia" w:eastAsia="宋体" w:cs="宋体"/>
          <w:spacing w:val="0"/>
          <w:sz w:val="21"/>
          <w:szCs w:val="21"/>
          <w:highlight w:val="none"/>
          <w:u w:val="none"/>
          <w:lang w:val="en-US" w:eastAsia="zh-CN"/>
        </w:rPr>
        <w:t xml:space="preserve">    签订时间：   年  月  日</w:t>
      </w:r>
      <w:r/>
    </w:p>
    <w:p>
      <w:pPr>
        <w:pStyle w:val="782"/>
        <w:ind w:left="0"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根据常州市政府采购中心/</w:t>
      </w:r>
      <w:r>
        <w:rPr>
          <w:rFonts w:hint="eastAsia" w:cs="宋体"/>
          <w:spacing w:val="0"/>
          <w:sz w:val="21"/>
          <w:szCs w:val="21"/>
          <w:highlight w:val="none"/>
          <w:lang w:val="en-US" w:eastAsia="zh-CN"/>
        </w:rPr>
        <w:t xml:space="preserve">xxx</w:t>
      </w:r>
      <w:r>
        <w:rPr>
          <w:rFonts w:hint="eastAsia" w:ascii="宋体" w:hAnsi="宋体" w:eastAsia="宋体" w:cs="宋体"/>
          <w:spacing w:val="0"/>
          <w:sz w:val="21"/>
          <w:szCs w:val="21"/>
          <w:highlight w:val="none"/>
        </w:rPr>
        <w:t xml:space="preserve">有限公司</w:t>
      </w:r>
      <w:r>
        <w:rPr>
          <w:rFonts w:hint="eastAsia" w:eastAsia="宋体" w:cs="宋体"/>
          <w:b w:val="0"/>
          <w:bCs w:val="0"/>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年 </w:t>
      </w:r>
      <w:r>
        <w:rPr>
          <w:rFonts w:hint="eastAsia"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月 </w:t>
      </w:r>
      <w:r>
        <w:rPr>
          <w:rFonts w:hint="eastAsia"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日进行的</w:t>
      </w:r>
      <w:r>
        <w:rPr>
          <w:rFonts w:hint="eastAsia" w:cs="宋体"/>
          <w:spacing w:val="0"/>
          <w:sz w:val="21"/>
          <w:szCs w:val="21"/>
          <w:highlight w:val="none"/>
          <w:lang w:eastAsia="zh-CN"/>
        </w:rPr>
        <w:t xml:space="preserve">〔2025〕</w:t>
      </w:r>
      <w:r>
        <w:rPr>
          <w:rFonts w:hint="eastAsia"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号招标要求，甲、乙双方就</w:t>
      </w:r>
      <w:r>
        <w:rPr>
          <w:rFonts w:hint="eastAsia"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常州机电职业技术学院智能制造产线夹具设计与调试实训室建设 </w:t>
      </w:r>
      <w:r>
        <w:rPr>
          <w:rFonts w:hint="eastAsia" w:ascii="宋体" w:hAnsi="宋体" w:eastAsia="宋体" w:cs="宋体"/>
          <w:spacing w:val="0"/>
          <w:sz w:val="21"/>
          <w:szCs w:val="21"/>
          <w:highlight w:val="none"/>
        </w:rPr>
        <w:t xml:space="preserve"> 项目，本着平等互利的原则，通过共同协商，根据《中华人民共和国政府采购法</w:t>
      </w:r>
      <w:r>
        <w:rPr>
          <w:rFonts w:hint="eastAsia"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中华人民共和国民法典》及有关法律法规，就相关事宜达成如下合同。</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outlineLvl w:val="4"/>
      </w:pPr>
      <w:r>
        <w:rPr>
          <w:rFonts w:hint="eastAsia" w:ascii="宋体" w:hAnsi="宋体" w:eastAsia="宋体" w:cs="宋体"/>
          <w:b/>
          <w:bCs/>
          <w:spacing w:val="0"/>
          <w:sz w:val="21"/>
          <w:szCs w:val="21"/>
          <w:highlight w:val="none"/>
        </w:rPr>
        <w:t xml:space="preserve">一、合同标的</w:t>
      </w:r>
      <w:r/>
    </w:p>
    <w:tbl>
      <w:tblPr>
        <w:tblStyle w:val="1234"/>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6"/>
        <w:gridCol w:w="2078"/>
        <w:gridCol w:w="910"/>
        <w:gridCol w:w="651"/>
        <w:gridCol w:w="584"/>
        <w:gridCol w:w="597"/>
        <w:gridCol w:w="1010"/>
        <w:gridCol w:w="1237"/>
        <w:gridCol w:w="794"/>
      </w:tblGrid>
      <w:tr>
        <w:trPr>
          <w:jc w:val="center"/>
          <w:trHeight w:val="567"/>
        </w:trPr>
        <w:tc>
          <w:tcPr>
            <w:tcW w:w="736"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序号</w:t>
            </w:r>
            <w:r/>
          </w:p>
        </w:tc>
        <w:tc>
          <w:tcPr>
            <w:tcW w:w="2078"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名称</w:t>
            </w:r>
            <w:r/>
          </w:p>
        </w:tc>
        <w:tc>
          <w:tcPr>
            <w:tcW w:w="910"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型号规格</w:t>
            </w:r>
            <w:r/>
          </w:p>
        </w:tc>
        <w:tc>
          <w:tcPr>
            <w:tcW w:w="651"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品牌</w:t>
            </w:r>
            <w:r/>
          </w:p>
        </w:tc>
        <w:tc>
          <w:tcPr>
            <w:tcBorders>
              <w:right w:val="single" w:color="auto" w:sz="4" w:space="0"/>
            </w:tcBorders>
            <w:tcW w:w="584"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数量</w:t>
            </w:r>
            <w:r/>
          </w:p>
        </w:tc>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单位</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单价</w:t>
            </w:r>
            <w:r>
              <w:rPr>
                <w:rFonts w:hint="eastAsia" w:cs="宋体"/>
                <w:spacing w:val="0"/>
                <w:sz w:val="18"/>
                <w:szCs w:val="18"/>
                <w:highlight w:val="none"/>
                <w:lang w:eastAsia="zh-CN"/>
              </w:rPr>
              <w:t xml:space="preserve">（</w:t>
            </w:r>
            <w:r>
              <w:rPr>
                <w:rFonts w:hint="eastAsia" w:ascii="宋体" w:hAnsi="宋体" w:eastAsia="宋体" w:cs="宋体"/>
                <w:spacing w:val="0"/>
                <w:sz w:val="18"/>
                <w:szCs w:val="18"/>
                <w:highlight w:val="none"/>
              </w:rPr>
              <w:t xml:space="preserve">元</w:t>
            </w:r>
            <w:r>
              <w:rPr>
                <w:rFonts w:hint="eastAsia" w:cs="宋体"/>
                <w:spacing w:val="0"/>
                <w:sz w:val="18"/>
                <w:szCs w:val="1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金额</w:t>
            </w:r>
            <w:r>
              <w:rPr>
                <w:rFonts w:hint="eastAsia" w:cs="宋体"/>
                <w:spacing w:val="0"/>
                <w:sz w:val="18"/>
                <w:szCs w:val="18"/>
                <w:highlight w:val="none"/>
                <w:lang w:eastAsia="zh-CN"/>
              </w:rPr>
              <w:t xml:space="preserve">（</w:t>
            </w:r>
            <w:r>
              <w:rPr>
                <w:rFonts w:hint="eastAsia" w:ascii="宋体" w:hAnsi="宋体" w:eastAsia="宋体" w:cs="宋体"/>
                <w:spacing w:val="0"/>
                <w:sz w:val="18"/>
                <w:szCs w:val="18"/>
                <w:highlight w:val="none"/>
              </w:rPr>
              <w:t xml:space="preserve">元</w:t>
            </w:r>
            <w:r>
              <w:rPr>
                <w:rFonts w:hint="eastAsia" w:cs="宋体"/>
                <w:spacing w:val="0"/>
                <w:sz w:val="18"/>
                <w:szCs w:val="18"/>
                <w:highlight w:val="none"/>
                <w:lang w:eastAsia="zh-CN"/>
              </w:rPr>
              <w:t xml:space="preserve">）</w:t>
            </w:r>
            <w:r/>
          </w:p>
        </w:tc>
        <w:tc>
          <w:tcPr>
            <w:tcBorders>
              <w:left w:val="single" w:color="auto" w:sz="4" w:space="0"/>
            </w:tcBorders>
            <w:tcW w:w="794"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rPr>
              <w:t xml:space="preserve">备注</w:t>
            </w:r>
            <w:r/>
          </w:p>
        </w:tc>
      </w:tr>
      <w:tr>
        <w:trPr>
          <w:jc w:val="center"/>
          <w:trHeight w:val="432"/>
        </w:trPr>
        <w:tc>
          <w:tcPr>
            <w:tcW w:w="736" w:type="dxa"/>
            <w:vAlign w:val="center"/>
            <w:textDirection w:val="lrTb"/>
            <w:noWrap w:val="false"/>
          </w:tcPr>
          <w:p>
            <w:pPr>
              <w:jc w:val="center"/>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lang w:val="en-US" w:eastAsia="zh-CN"/>
              </w:rPr>
              <w:t xml:space="preserve">1</w:t>
            </w:r>
            <w:r/>
          </w:p>
        </w:tc>
        <w:tc>
          <w:tcPr>
            <w:tcW w:w="2078"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智能夹具综合实训平台</w:t>
            </w:r>
            <w:r/>
          </w:p>
        </w:tc>
        <w:tc>
          <w:tcPr>
            <w:shd w:val="clear" w:color="auto" w:fill="auto"/>
            <w:tcW w:w="910"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详见参数</w:t>
            </w:r>
            <w:r/>
          </w:p>
        </w:tc>
        <w:tc>
          <w:tcPr>
            <w:shd w:val="clear" w:color="auto" w:fill="auto"/>
            <w:tcW w:w="651"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不限</w:t>
            </w:r>
            <w:r/>
          </w:p>
        </w:tc>
        <w:tc>
          <w:tcPr>
            <w:tcBorders>
              <w:right w:val="single" w:color="auto" w:sz="4" w:space="0"/>
            </w:tcBorders>
            <w:tcW w:w="58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right"/>
              <w:widowControl/>
              <w:rPr>
                <w:rFonts w:hint="default" w:ascii="宋体" w:hAnsi="宋体" w:eastAsia="宋体" w:cs="宋体"/>
                <w:spacing w:val="0"/>
                <w:sz w:val="18"/>
                <w:szCs w:val="18"/>
                <w:highlight w:val="none"/>
                <w:vertAlign w:val="baseline"/>
                <w:lang w:val="en-US" w:eastAsia="zh-CN"/>
              </w:rPr>
            </w:pPr>
            <w:r>
              <w:rPr>
                <w:rFonts w:hint="default" w:ascii="宋体" w:hAnsi="宋体" w:eastAsia="宋体" w:cs="宋体"/>
                <w:spacing w:val="0"/>
                <w:sz w:val="18"/>
                <w:szCs w:val="18"/>
                <w:highlight w:val="none"/>
                <w:vertAlign w:val="baseli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tcBorders>
              <w:left w:val="single" w:color="auto" w:sz="4" w:space="0"/>
            </w:tcBorders>
            <w:tcW w:w="79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r>
      <w:tr>
        <w:trPr>
          <w:jc w:val="center"/>
          <w:trHeight w:val="454"/>
        </w:trPr>
        <w:tc>
          <w:tcPr>
            <w:tcW w:w="736" w:type="dxa"/>
            <w:vAlign w:val="center"/>
            <w:textDirection w:val="lrTb"/>
            <w:noWrap w:val="false"/>
          </w:tcPr>
          <w:p>
            <w:pPr>
              <w:jc w:val="center"/>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lang w:val="en-US" w:eastAsia="zh-CN"/>
              </w:rPr>
              <w:t xml:space="preserve">2</w:t>
            </w:r>
            <w:r/>
          </w:p>
        </w:tc>
        <w:tc>
          <w:tcPr>
            <w:tcW w:w="2078"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数字孪生软件</w:t>
            </w:r>
            <w:r/>
          </w:p>
        </w:tc>
        <w:tc>
          <w:tcPr>
            <w:shd w:val="clear" w:color="auto" w:fill="auto"/>
            <w:tcW w:w="910"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详见参数</w:t>
            </w:r>
            <w:r/>
          </w:p>
        </w:tc>
        <w:tc>
          <w:tcPr>
            <w:shd w:val="clear" w:color="auto" w:fill="auto"/>
            <w:tcW w:w="651"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不限</w:t>
            </w:r>
            <w:r/>
          </w:p>
        </w:tc>
        <w:tc>
          <w:tcPr>
            <w:tcBorders>
              <w:right w:val="single" w:color="auto" w:sz="4" w:space="0"/>
            </w:tcBorders>
            <w:tcW w:w="58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right"/>
              <w:widowControl/>
              <w:rPr>
                <w:rFonts w:hint="default" w:ascii="宋体" w:hAnsi="宋体" w:eastAsia="宋体" w:cs="宋体"/>
                <w:spacing w:val="0"/>
                <w:sz w:val="18"/>
                <w:szCs w:val="18"/>
                <w:highlight w:val="none"/>
                <w:vertAlign w:val="baseline"/>
                <w:lang w:val="en-US" w:eastAsia="zh-CN"/>
              </w:rPr>
            </w:pPr>
            <w:r>
              <w:rPr>
                <w:rFonts w:hint="default" w:ascii="宋体" w:hAnsi="宋体" w:eastAsia="宋体" w:cs="宋体"/>
                <w:spacing w:val="0"/>
                <w:sz w:val="18"/>
                <w:szCs w:val="18"/>
                <w:highlight w:val="none"/>
                <w:vertAlign w:val="baseli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tcBorders>
              <w:left w:val="single" w:color="auto" w:sz="4" w:space="0"/>
            </w:tcBorders>
            <w:tcW w:w="79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r>
      <w:tr>
        <w:trPr>
          <w:jc w:val="center"/>
          <w:trHeight w:val="418"/>
        </w:trPr>
        <w:tc>
          <w:tcPr>
            <w:tcW w:w="736" w:type="dxa"/>
            <w:vAlign w:val="center"/>
            <w:textDirection w:val="lrTb"/>
            <w:noWrap w:val="false"/>
          </w:tcPr>
          <w:p>
            <w:pPr>
              <w:jc w:val="center"/>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lang w:val="en-US" w:eastAsia="zh-CN"/>
              </w:rPr>
              <w:t xml:space="preserve">3</w:t>
            </w:r>
            <w:r/>
          </w:p>
        </w:tc>
        <w:tc>
          <w:tcPr>
            <w:tcW w:w="2078"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夹具虚拟教学软件</w:t>
            </w:r>
            <w:r/>
          </w:p>
        </w:tc>
        <w:tc>
          <w:tcPr>
            <w:shd w:val="clear" w:color="auto" w:fill="auto"/>
            <w:tcW w:w="910"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详见参数</w:t>
            </w:r>
            <w:r/>
          </w:p>
        </w:tc>
        <w:tc>
          <w:tcPr>
            <w:shd w:val="clear" w:color="auto" w:fill="auto"/>
            <w:tcW w:w="651"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不限</w:t>
            </w:r>
            <w:r/>
          </w:p>
        </w:tc>
        <w:tc>
          <w:tcPr>
            <w:tcBorders>
              <w:right w:val="single" w:color="auto" w:sz="4" w:space="0"/>
            </w:tcBorders>
            <w:tcW w:w="58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节点</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tcBorders>
              <w:left w:val="single" w:color="auto" w:sz="4" w:space="0"/>
            </w:tcBorders>
            <w:tcW w:w="79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r>
      <w:tr>
        <w:trPr>
          <w:jc w:val="center"/>
          <w:trHeight w:val="487"/>
        </w:trPr>
        <w:tc>
          <w:tcPr>
            <w:tcW w:w="736" w:type="dxa"/>
            <w:vAlign w:val="center"/>
            <w:textDirection w:val="lrTb"/>
            <w:noWrap w:val="false"/>
          </w:tcPr>
          <w:p>
            <w:pPr>
              <w:jc w:val="center"/>
              <w:rPr>
                <w:rFonts w:hint="eastAsia" w:ascii="宋体" w:hAnsi="宋体" w:eastAsia="宋体" w:cs="宋体"/>
                <w:spacing w:val="0"/>
                <w:sz w:val="18"/>
                <w:szCs w:val="18"/>
                <w:highlight w:val="none"/>
              </w:rPr>
            </w:pPr>
            <w:r>
              <w:rPr>
                <w:rFonts w:hint="eastAsia" w:ascii="宋体" w:hAnsi="宋体" w:eastAsia="宋体" w:cs="宋体"/>
                <w:spacing w:val="0"/>
                <w:sz w:val="18"/>
                <w:szCs w:val="18"/>
                <w:highlight w:val="none"/>
                <w:lang w:val="en-US" w:eastAsia="zh-CN"/>
              </w:rPr>
              <w:t xml:space="preserve">4</w:t>
            </w:r>
            <w:r/>
          </w:p>
        </w:tc>
        <w:tc>
          <w:tcPr>
            <w:tcW w:w="2078"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智能产线夹具资源包</w:t>
            </w:r>
            <w:r/>
          </w:p>
        </w:tc>
        <w:tc>
          <w:tcPr>
            <w:shd w:val="clear" w:color="auto" w:fill="auto"/>
            <w:tcW w:w="910"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详见参数</w:t>
            </w:r>
            <w:r/>
          </w:p>
        </w:tc>
        <w:tc>
          <w:tcPr>
            <w:shd w:val="clear" w:color="auto" w:fill="auto"/>
            <w:tcW w:w="651"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en-US"/>
              </w:rPr>
            </w:pPr>
            <w:r>
              <w:rPr>
                <w:rFonts w:hint="eastAsia" w:ascii="宋体" w:hAnsi="宋体" w:eastAsia="宋体" w:cs="宋体"/>
                <w:spacing w:val="0"/>
                <w:sz w:val="18"/>
                <w:szCs w:val="18"/>
                <w:highlight w:val="none"/>
                <w:vertAlign w:val="baseline"/>
                <w:lang w:val="en-US" w:eastAsia="zh-CN"/>
              </w:rPr>
              <w:t xml:space="preserve">不限</w:t>
            </w:r>
            <w:r/>
          </w:p>
        </w:tc>
        <w:tc>
          <w:tcPr>
            <w:tcBorders>
              <w:right w:val="single" w:color="auto" w:sz="4" w:space="0"/>
            </w:tcBorders>
            <w:tcW w:w="58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right"/>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c>
          <w:tcPr>
            <w:tcBorders>
              <w:left w:val="single" w:color="auto" w:sz="4" w:space="0"/>
            </w:tcBorders>
            <w:tcW w:w="794" w:type="dxa"/>
            <w:vAlign w:val="center"/>
            <w:textDirection w:val="lrTb"/>
            <w:noWrap w:val="false"/>
          </w:tcPr>
          <w:p>
            <w:pPr>
              <w:jc w:val="center"/>
              <w:widowControl/>
              <w:rPr>
                <w:rFonts w:hint="eastAsia" w:ascii="宋体" w:hAnsi="宋体" w:eastAsia="宋体" w:cs="宋体"/>
                <w:spacing w:val="0"/>
                <w:sz w:val="18"/>
                <w:szCs w:val="18"/>
                <w:highlight w:val="none"/>
                <w:vertAlign w:val="baseline"/>
                <w:lang w:val="en-US" w:eastAsia="zh-CN"/>
              </w:rPr>
            </w:pPr>
            <w:r>
              <w:rPr>
                <w:rFonts w:hint="eastAsia" w:ascii="宋体" w:hAnsi="宋体" w:eastAsia="宋体" w:cs="宋体"/>
                <w:spacing w:val="0"/>
                <w:sz w:val="18"/>
                <w:szCs w:val="18"/>
                <w:highlight w:val="none"/>
                <w:vertAlign w:val="baseline"/>
                <w:lang w:val="en-US" w:eastAsia="zh-CN"/>
              </w:rPr>
            </w:r>
            <w:r/>
          </w:p>
        </w:tc>
      </w:tr>
      <w:tr>
        <w:trPr>
          <w:jc w:val="center"/>
          <w:trHeight w:val="679"/>
        </w:trPr>
        <w:tc>
          <w:tcPr>
            <w:gridSpan w:val="9"/>
            <w:tcW w:w="8597" w:type="dxa"/>
            <w:vAlign w:val="center"/>
            <w:textDirection w:val="lrTb"/>
            <w:noWrap w:val="false"/>
          </w:tcPr>
          <w:p>
            <w:pPr>
              <w:pStyle w:val="1246"/>
              <w:ind w:left="0" w:right="0" w:firstLine="0"/>
              <w:jc w:val="center"/>
              <w:keepLines w:val="0"/>
              <w:keepNext w:val="0"/>
              <w:pageBreakBefore w:val="0"/>
              <w:spacing w:after="0" w:line="240" w:lineRule="auto"/>
              <w:widowControl/>
              <w:rPr>
                <w:rFonts w:hint="eastAsia" w:ascii="宋体" w:hAnsi="宋体" w:eastAsia="宋体" w:cs="宋体"/>
                <w:spacing w:val="0"/>
                <w:sz w:val="18"/>
                <w:szCs w:val="18"/>
                <w:highlight w:val="none"/>
              </w:rPr>
            </w:pPr>
            <w:r>
              <w:rPr>
                <w:rFonts w:hint="eastAsia" w:ascii="宋体" w:hAnsi="宋体" w:eastAsia="宋体" w:cs="宋体"/>
                <w:b/>
                <w:bCs/>
                <w:spacing w:val="0"/>
                <w:sz w:val="21"/>
                <w:szCs w:val="21"/>
                <w:highlight w:val="none"/>
              </w:rPr>
              <w:t xml:space="preserve">合计金额大写：</w:t>
            </w:r>
            <w:r>
              <w:rPr>
                <w:rFonts w:hint="eastAsia" w:eastAsia="宋体" w:cs="宋体"/>
                <w:b/>
                <w:bCs/>
                <w:spacing w:val="0"/>
                <w:sz w:val="21"/>
                <w:szCs w:val="21"/>
                <w:highlight w:val="none"/>
                <w:u w:val="single"/>
                <w:lang w:val="en-US" w:eastAsia="zh-CN"/>
              </w:rPr>
              <w:t xml:space="preserve">   </w:t>
            </w:r>
            <w:r>
              <w:rPr>
                <w:rFonts w:hint="eastAsia" w:cs="宋体"/>
                <w:b/>
                <w:bCs/>
                <w:spacing w:val="0"/>
                <w:sz w:val="21"/>
                <w:szCs w:val="21"/>
                <w:highlight w:val="none"/>
                <w:u w:val="single"/>
                <w:lang w:val="en-US" w:eastAsia="zh-CN"/>
              </w:rPr>
              <w:t xml:space="preserve">       万元整</w:t>
            </w:r>
            <w:r>
              <w:rPr>
                <w:rFonts w:hint="eastAsia" w:eastAsia="宋体" w:cs="宋体"/>
                <w:b/>
                <w:bCs/>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 </w:t>
            </w:r>
            <w:r>
              <w:rPr>
                <w:rFonts w:hint="eastAsia" w:ascii="宋体" w:hAnsi="宋体" w:eastAsia="宋体" w:cs="宋体"/>
                <w:b/>
                <w:bCs/>
                <w:spacing w:val="0"/>
                <w:sz w:val="21"/>
                <w:szCs w:val="21"/>
                <w:highlight w:val="none"/>
              </w:rPr>
              <w:t xml:space="preserve">;</w:t>
            </w:r>
            <w:r>
              <w:rPr>
                <w:rFonts w:hint="eastAsia" w:ascii="宋体" w:hAnsi="宋体" w:eastAsia="宋体" w:cs="宋体"/>
                <w:spacing w:val="0"/>
                <w:sz w:val="21"/>
                <w:szCs w:val="21"/>
                <w:highlight w:val="none"/>
              </w:rPr>
              <w:t xml:space="preserve"> </w:t>
            </w:r>
            <w:r>
              <w:rPr>
                <w:rFonts w:hint="eastAsia" w:ascii="宋体" w:hAnsi="宋体" w:eastAsia="宋体" w:cs="宋体"/>
                <w:b/>
                <w:bCs/>
                <w:spacing w:val="0"/>
                <w:sz w:val="21"/>
                <w:szCs w:val="21"/>
                <w:highlight w:val="none"/>
              </w:rPr>
              <w:t xml:space="preserve">小</w:t>
            </w:r>
            <w:r>
              <w:rPr>
                <w:rFonts w:hint="eastAsia" w:ascii="宋体" w:hAnsi="宋体" w:eastAsia="宋体" w:cs="宋体"/>
                <w:spacing w:val="0"/>
                <w:sz w:val="21"/>
                <w:szCs w:val="21"/>
                <w:highlight w:val="none"/>
              </w:rPr>
              <w:t xml:space="preserve"> </w:t>
            </w:r>
            <w:r>
              <w:rPr>
                <w:rFonts w:hint="eastAsia" w:ascii="宋体" w:hAnsi="宋体" w:eastAsia="宋体" w:cs="宋体"/>
                <w:b/>
                <w:bCs/>
                <w:spacing w:val="0"/>
                <w:sz w:val="21"/>
                <w:szCs w:val="21"/>
                <w:highlight w:val="none"/>
              </w:rPr>
              <w:t xml:space="preserve">写</w:t>
            </w:r>
            <w:r>
              <w:rPr>
                <w:rFonts w:hint="eastAsia" w:ascii="宋体" w:hAnsi="宋体" w:eastAsia="宋体" w:cs="宋体"/>
                <w:spacing w:val="0"/>
                <w:sz w:val="21"/>
                <w:szCs w:val="21"/>
                <w:highlight w:val="none"/>
              </w:rPr>
              <w:t xml:space="preserve"> </w:t>
            </w:r>
            <w:r>
              <w:rPr>
                <w:rFonts w:hint="eastAsia" w:ascii="宋体" w:hAnsi="宋体" w:eastAsia="宋体" w:cs="宋体"/>
                <w:b/>
                <w:bCs/>
                <w:spacing w:val="0"/>
                <w:sz w:val="21"/>
                <w:szCs w:val="21"/>
                <w:highlight w:val="none"/>
              </w:rPr>
              <w:t xml:space="preserve">：</w:t>
            </w:r>
            <w:r>
              <w:rPr>
                <w:rFonts w:hint="eastAsia" w:eastAsia="宋体" w:cs="宋体"/>
                <w:b/>
                <w:bCs/>
                <w:spacing w:val="0"/>
                <w:sz w:val="21"/>
                <w:szCs w:val="21"/>
                <w:highlight w:val="none"/>
                <w:u w:val="single"/>
                <w:lang w:val="en-US" w:eastAsia="zh-CN"/>
              </w:rPr>
              <w:t xml:space="preserve"> </w:t>
            </w:r>
            <w:r>
              <w:rPr>
                <w:rFonts w:hint="eastAsia" w:cs="宋体"/>
                <w:b/>
                <w:bCs/>
                <w:spacing w:val="0"/>
                <w:sz w:val="21"/>
                <w:szCs w:val="21"/>
                <w:highlight w:val="none"/>
                <w:u w:val="single"/>
                <w:lang w:val="en-US" w:eastAsia="zh-CN"/>
              </w:rPr>
              <w:t xml:space="preserve">           </w:t>
            </w:r>
            <w:r>
              <w:rPr>
                <w:rFonts w:hint="eastAsia" w:eastAsia="宋体" w:cs="宋体"/>
                <w:b/>
                <w:bCs/>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rPr>
              <w:t xml:space="preserve">元</w:t>
            </w:r>
            <w:r/>
          </w:p>
        </w:tc>
      </w:tr>
    </w:tbl>
    <w:p>
      <w:pPr>
        <w:pStyle w:val="782"/>
        <w:ind w:left="0"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本合同总价款是货物设计、制造、包装、仓储、运输装卸、保险、安装、调试及其材料及验收合格之前保管及保修期内备品备件、专用工具、伴随服务、技术图纸资料、人员培训发生的所有含税费用。本合同总价款还包含乙方应当提供的伴随服务/售后服务费用。</w:t>
      </w:r>
      <w:r/>
    </w:p>
    <w:p>
      <w:pPr>
        <w:ind w:left="0" w:right="0" w:firstLine="0"/>
        <w:jc w:val="left"/>
        <w:keepLines w:val="0"/>
        <w:keepNext w:val="0"/>
        <w:pageBreakBefore w:val="0"/>
        <w:spacing w:after="0" w:line="336" w:lineRule="auto"/>
        <w:widowControl/>
        <w:rPr>
          <w:rFonts w:hint="eastAsia" w:ascii="宋体" w:hAnsi="宋体" w:eastAsia="宋体" w:cs="宋体"/>
          <w:spacing w:val="0"/>
          <w:sz w:val="21"/>
          <w:szCs w:val="21"/>
          <w:highlight w:val="none"/>
        </w:rPr>
        <w:outlineLvl w:val="4"/>
      </w:pPr>
      <w:r>
        <w:rPr>
          <w:rFonts w:hint="eastAsia" w:ascii="宋体" w:hAnsi="宋体" w:eastAsia="宋体" w:cs="宋体"/>
          <w:b/>
          <w:bCs/>
          <w:spacing w:val="0"/>
          <w:sz w:val="21"/>
          <w:szCs w:val="21"/>
          <w:highlight w:val="none"/>
        </w:rPr>
        <w:t xml:space="preserve">二、合同标的技术要求</w:t>
      </w:r>
      <w:r/>
    </w:p>
    <w:p>
      <w:pPr>
        <w:pStyle w:val="782"/>
        <w:ind w:left="0" w:right="0" w:firstLine="422"/>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1.技术质量要求：</w:t>
      </w: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以合同附件形式附后</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详见附件1;</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2.下列文件是构成合同不可分割的部分，并与本合同具有同等法律效力，这些文件包括但不限于：</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号招标文件。</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（2）</w:t>
      </w:r>
      <w:r>
        <w:rPr>
          <w:rFonts w:hint="eastAsia" w:ascii="宋体" w:hAnsi="宋体" w:eastAsia="宋体" w:cs="宋体"/>
          <w:spacing w:val="0"/>
          <w:sz w:val="21"/>
          <w:szCs w:val="21"/>
          <w:highlight w:val="none"/>
        </w:rPr>
        <w:t xml:space="preserve">乙方提交的投标书。</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（3）</w:t>
      </w:r>
      <w:r>
        <w:rPr>
          <w:rFonts w:hint="eastAsia" w:ascii="宋体" w:hAnsi="宋体" w:eastAsia="宋体" w:cs="宋体"/>
          <w:spacing w:val="0"/>
          <w:sz w:val="21"/>
          <w:szCs w:val="21"/>
          <w:highlight w:val="none"/>
        </w:rPr>
        <w:t xml:space="preserve">谈判文件及</w:t>
      </w:r>
      <w:r>
        <w:rPr>
          <w:rFonts w:hint="eastAsia" w:ascii="宋体" w:hAnsi="宋体" w:eastAsia="宋体" w:cs="宋体"/>
          <w:spacing w:val="0"/>
          <w:sz w:val="21"/>
          <w:szCs w:val="21"/>
          <w:highlight w:val="none"/>
          <w:lang w:eastAsia="zh-CN"/>
        </w:rPr>
        <w:t xml:space="preserve">相关</w:t>
      </w:r>
      <w:r>
        <w:rPr>
          <w:rFonts w:hint="eastAsia" w:ascii="宋体" w:hAnsi="宋体" w:eastAsia="宋体" w:cs="宋体"/>
          <w:spacing w:val="0"/>
          <w:sz w:val="21"/>
          <w:szCs w:val="21"/>
          <w:highlight w:val="none"/>
        </w:rPr>
        <w:t xml:space="preserve">资料。</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（4）</w:t>
      </w:r>
      <w:r>
        <w:rPr>
          <w:rFonts w:hint="eastAsia" w:ascii="宋体" w:hAnsi="宋体" w:eastAsia="宋体" w:cs="宋体"/>
          <w:spacing w:val="0"/>
          <w:sz w:val="21"/>
          <w:szCs w:val="21"/>
          <w:highlight w:val="none"/>
        </w:rPr>
        <w:t xml:space="preserve">乙方投标的其他资料及承诺。</w:t>
      </w:r>
      <w:r/>
    </w:p>
    <w:p>
      <w:pPr>
        <w:pStyle w:val="782"/>
        <w:ind w:left="0" w:right="0" w:firstLine="420"/>
        <w:jc w:val="left"/>
        <w:keepLines w:val="0"/>
        <w:keepNext w:val="0"/>
        <w:pageBreakBefore w:val="0"/>
        <w:spacing w:before="0"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（5）</w:t>
      </w:r>
      <w:r>
        <w:rPr>
          <w:rFonts w:hint="eastAsia" w:ascii="宋体" w:hAnsi="宋体" w:eastAsia="宋体" w:cs="宋体"/>
          <w:spacing w:val="0"/>
          <w:sz w:val="21"/>
          <w:szCs w:val="21"/>
          <w:highlight w:val="none"/>
        </w:rPr>
        <w:t xml:space="preserve">经甲、乙、双方确认的其他补充协议及相关资料。</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三、交货与运输</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1. 货物交付：</w:t>
      </w:r>
      <w:r>
        <w:rPr>
          <w:rFonts w:hint="eastAsia" w:ascii="宋体" w:hAnsi="宋体" w:eastAsia="宋体" w:cs="宋体"/>
          <w:spacing w:val="0"/>
          <w:sz w:val="21"/>
          <w:szCs w:val="21"/>
          <w:highlight w:val="none"/>
        </w:rPr>
        <w:t xml:space="preserve">自合同签订之日起90个日历日内完成交货安装并通过采购人验收，具体以货物运到现场的时间为准，此日期或甲方书面通知变更后的日期为计算迟交货物违约金的依据。</w:t>
      </w:r>
      <w:r/>
    </w:p>
    <w:p>
      <w:pPr>
        <w:ind w:left="0" w:right="0" w:firstLine="422"/>
        <w:jc w:val="left"/>
        <w:keepLines w:val="0"/>
        <w:keepNext w:val="0"/>
        <w:pageBreakBefore w:val="0"/>
        <w:spacing w:after="0" w:line="360"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2. 资料交付</w:t>
      </w:r>
      <w:r/>
    </w:p>
    <w:p>
      <w:pPr>
        <w:ind w:left="0"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乙方应在交付货物的同时向甲方提供全套随机文件</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含产品合格证书、使用维护说明书、验收报告书</w:t>
      </w:r>
      <w:r>
        <w:rPr>
          <w:rFonts w:hint="eastAsia" w:ascii="宋体" w:hAnsi="宋体" w:eastAsia="宋体" w:cs="宋体"/>
          <w:spacing w:val="0"/>
          <w:sz w:val="21"/>
          <w:szCs w:val="21"/>
          <w:highlight w:val="none"/>
          <w:lang w:eastAsia="zh-CN"/>
        </w:rPr>
        <w:t xml:space="preserve">）壹套</w:t>
      </w:r>
      <w:r>
        <w:rPr>
          <w:rFonts w:hint="eastAsia" w:ascii="宋体" w:hAnsi="宋体" w:eastAsia="宋体" w:cs="宋体"/>
          <w:spacing w:val="0"/>
          <w:sz w:val="21"/>
          <w:szCs w:val="21"/>
          <w:highlight w:val="none"/>
        </w:rPr>
        <w:t xml:space="preserve">。</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3. 交货地点：</w:t>
      </w:r>
      <w:r>
        <w:rPr>
          <w:rFonts w:hint="eastAsia" w:ascii="宋体" w:hAnsi="宋体" w:eastAsia="宋体" w:cs="宋体"/>
          <w:spacing w:val="0"/>
          <w:sz w:val="21"/>
          <w:szCs w:val="21"/>
          <w:highlight w:val="none"/>
        </w:rPr>
        <w:t xml:space="preserve">乙方应将货物运到甲方指定的地点</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u w:val="single"/>
        </w:rPr>
        <w:t xml:space="preserve">常州机电职业技术学院</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。货物现场交付，甲方检验无误，签署收货通知单后货物所有权转移给甲方。</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四、检验与验收</w:t>
      </w:r>
      <w:r/>
    </w:p>
    <w:p>
      <w:pPr>
        <w:ind w:left="0"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乙方提供的所有货物在交接过程中都须进行严格的检验和试验。</w:t>
      </w:r>
      <w:r/>
    </w:p>
    <w:p>
      <w:pPr>
        <w:numPr>
          <w:ilvl w:val="0"/>
          <w:numId w:val="20"/>
        </w:numPr>
        <w:ind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出厂检验：</w:t>
      </w:r>
      <w:r>
        <w:rPr>
          <w:rFonts w:hint="eastAsia" w:ascii="宋体" w:hAnsi="宋体" w:eastAsia="宋体" w:cs="宋体"/>
          <w:spacing w:val="0"/>
          <w:sz w:val="21"/>
          <w:szCs w:val="21"/>
          <w:highlight w:val="none"/>
        </w:rPr>
        <w:t xml:space="preserve">供应商提供货物的产品合格证。</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2. 到货检验：</w:t>
      </w:r>
      <w:r>
        <w:rPr>
          <w:rFonts w:hint="eastAsia" w:ascii="宋体" w:hAnsi="宋体" w:eastAsia="宋体" w:cs="宋体"/>
          <w:spacing w:val="0"/>
          <w:sz w:val="21"/>
          <w:szCs w:val="21"/>
          <w:highlight w:val="none"/>
        </w:rPr>
        <w:t xml:space="preserve">货物运达目的地后，采购人通知供应商派员及验收部门赴现场共同清验交收，并形成记录材料。清验中，若发现货物由于非采购人原因</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包括运输</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发生任何损坏、缺陷缺少或与合同规定的质量标准和规范不符，应做好记录，并由双方代表签字，各执一份，作为采购人向供应商提出修理、更换、索赔的依据。若供应商代表未按约定时间赴现场参加验收，采购人有权自行开箱清点检验，其检验结果和记录对双方同样有效，并作为采购人向供应商索赔的有效证据。</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3.安装调试检验：</w:t>
      </w:r>
      <w:r>
        <w:rPr>
          <w:rFonts w:hint="eastAsia" w:ascii="宋体" w:hAnsi="宋体" w:eastAsia="宋体" w:cs="宋体"/>
          <w:spacing w:val="0"/>
          <w:sz w:val="21"/>
          <w:szCs w:val="21"/>
          <w:highlight w:val="none"/>
        </w:rPr>
        <w:t xml:space="preserve">货物安装调整后进行试运行，试用期1个月，结束后由采购人组织相关部门进行验收，并出具验收结果。若对验收结果有异议，可由双方委托权威的第三方检验机构进行检验。检验结果对双方都有约束力，检验费用由责任方负担。</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4.配套服务检验：</w:t>
      </w:r>
      <w:r>
        <w:rPr>
          <w:rFonts w:hint="eastAsia" w:ascii="宋体" w:hAnsi="宋体" w:eastAsia="宋体" w:cs="宋体"/>
          <w:spacing w:val="0"/>
          <w:sz w:val="21"/>
          <w:szCs w:val="21"/>
          <w:highlight w:val="none"/>
        </w:rPr>
        <w:t xml:space="preserve">供应商必须提供货物的现场安装、启动、调试、监督等服务；提供标的物组装和一般维修所必须的工具；提供在合同规定的期限内对所提供货物实行运行监督、维修服务的前提条件是该服务并不能免除供应商在质量保证期内所承担的义务；</w:t>
      </w:r>
      <w:r/>
    </w:p>
    <w:p>
      <w:pPr>
        <w:ind w:left="0" w:right="0" w:firstLine="422"/>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5.提出异议的时间和办法：</w:t>
      </w:r>
      <w:r>
        <w:rPr>
          <w:rFonts w:hint="eastAsia" w:ascii="宋体" w:hAnsi="宋体" w:eastAsia="宋体" w:cs="宋体"/>
          <w:spacing w:val="0"/>
          <w:sz w:val="21"/>
          <w:szCs w:val="21"/>
          <w:highlight w:val="none"/>
        </w:rPr>
        <w:t xml:space="preserve">如有任何货物经检验和试验不符合技术规范的要求，采购人可以拒收。供应商应更换被拒收的货物，使之符合技术规范书的要求，供应商承担由此发生的一切费用。供应商如对采购人提出的修理、更换、索赔要求有异议，应在接到采购人书面通知后3天内提出，并在该时间内自费派代表赴现场同采购人代表共同复验。供应商在接到采购人按本合同规定提出的索赔通知后，应尽快修理、更换或补发短缺部分，由此产生的制造、修理和运费及保险费均由供应商负担。上述索赔，采购人从付款中扣除。</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五、履约保证金：</w:t>
      </w:r>
      <w:r/>
    </w:p>
    <w:p>
      <w:pPr>
        <w:ind w:left="0" w:right="0" w:firstLine="0"/>
        <w:jc w:val="left"/>
        <w:keepLines w:val="0"/>
        <w:keepNext w:val="0"/>
        <w:pageBreakBefore w:val="0"/>
        <w:spacing w:after="0"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为保障合同的有效履行，签订合同前，乙方应先缴纳合同总额的5%履约保证金，承诺的质保期满后15个工作日内退还履约保证金。（不计息）</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六、付款方式：</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本合同经费按以下第</w:t>
      </w:r>
      <w:r>
        <w:rPr>
          <w:rFonts w:hint="eastAsia" w:ascii="宋体" w:hAnsi="宋体" w:eastAsia="宋体" w:cs="宋体"/>
          <w:sz w:val="21"/>
          <w:szCs w:val="21"/>
          <w:highlight w:val="none"/>
          <w:u w:val="none"/>
          <w:lang w:val="en-US" w:eastAsia="zh-CN"/>
        </w:rPr>
        <w:t xml:space="preserve"> 2 </w:t>
      </w:r>
      <w:r>
        <w:rPr>
          <w:rFonts w:hint="eastAsia" w:ascii="宋体" w:hAnsi="宋体" w:eastAsia="宋体" w:cs="宋体"/>
          <w:sz w:val="21"/>
          <w:szCs w:val="21"/>
          <w:highlight w:val="none"/>
        </w:rPr>
        <w:t xml:space="preserve">种方式支付：</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1.一次性支付，支付时间和方式。合同签订后，按验收标准验收合格后15个工作日</w:t>
      </w:r>
      <w:r>
        <w:rPr>
          <w:rFonts w:hint="eastAsia" w:ascii="宋体" w:hAnsi="宋体" w:eastAsia="宋体" w:cs="宋体"/>
          <w:sz w:val="21"/>
          <w:szCs w:val="21"/>
          <w:highlight w:val="none"/>
          <w:lang w:eastAsia="zh-CN"/>
        </w:rPr>
        <w:t xml:space="preserve">内支</w:t>
      </w:r>
      <w:r>
        <w:rPr>
          <w:rFonts w:hint="eastAsia" w:ascii="宋体" w:hAnsi="宋体" w:eastAsia="宋体" w:cs="宋体"/>
          <w:sz w:val="21"/>
          <w:szCs w:val="21"/>
          <w:highlight w:val="none"/>
        </w:rPr>
        <w:t xml:space="preserve">付合同总额的100%。</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2.分期支付，支付时间和方式：</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（1）合同签订后15个工作日内甲方支付给乙方合同总额的</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30  %</w:t>
      </w:r>
      <w:r>
        <w:rPr>
          <w:rFonts w:hint="eastAsia" w:ascii="宋体" w:hAnsi="宋体" w:eastAsia="宋体" w:cs="宋体"/>
          <w:sz w:val="21"/>
          <w:szCs w:val="21"/>
          <w:highlight w:val="none"/>
        </w:rPr>
        <w:t xml:space="preserve">作为预付款；</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（2）余款待验收合格后15个工作日内甲方支付乙方合同总额的</w:t>
      </w:r>
      <w:r>
        <w:rPr>
          <w:rFonts w:hint="eastAsia" w:ascii="宋体" w:hAnsi="宋体" w:eastAsia="宋体" w:cs="宋体"/>
          <w:sz w:val="21"/>
          <w:szCs w:val="21"/>
          <w:highlight w:val="none"/>
          <w:u w:val="none"/>
        </w:rPr>
        <w:t xml:space="preserve"> 70%</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 xml:space="preserve">；</w:t>
      </w:r>
      <w:r/>
    </w:p>
    <w:p>
      <w:pPr>
        <w:ind w:firstLine="420"/>
        <w:jc w:val="left"/>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3.其他约定的支付方式，约定如下：</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无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七、质量保证期与售后服务</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1.质量保证期为自物资设备验收合格并通过试运后</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壹</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年。</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2.质保期内，乙方负责联系产品厂家对其提供的设备、软件进行维修或更换，不收取额外费用。</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3.质量保证期内免费更换零配件</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人为损坏除外</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质量保证期满后实行终身有偿维修保养。在接到校方报修通知后，乙方维修人员白天</w:t>
      </w:r>
      <w:r>
        <w:rPr>
          <w:rFonts w:hint="eastAsia" w:ascii="宋体" w:hAnsi="宋体" w:eastAsia="宋体" w:cs="宋体"/>
          <w:spacing w:val="0"/>
          <w:sz w:val="21"/>
          <w:szCs w:val="21"/>
          <w:highlight w:val="none"/>
          <w:u w:val="single"/>
        </w:rPr>
        <w:t xml:space="preserve">  </w:t>
      </w:r>
      <w:r>
        <w:rPr>
          <w:rFonts w:hint="eastAsia" w:ascii="宋体" w:hAnsi="宋体" w:eastAsia="宋体" w:cs="宋体"/>
          <w:b/>
          <w:bCs/>
          <w:spacing w:val="0"/>
          <w:sz w:val="21"/>
          <w:szCs w:val="21"/>
          <w:highlight w:val="none"/>
          <w:u w:val="single"/>
        </w:rPr>
        <w:t xml:space="preserve">8</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小时、夜间</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u w:val="single"/>
        </w:rPr>
        <w:t xml:space="preserve">24</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 xml:space="preserve">小时内需按约定赶到现场提供故障排除服务，如涉及非本次采购的其他网络设备故障，仍需协助甲方排除故障，直至甲方系统完全恢复正常。</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4.超过质保期的设备，如遇生产厂商产品调整停止生产，乙方需提前通知甲方，并同时告知可替代的新产品。如设备发生硬件故障，甲方仍需维修时，乙方应按当时同类产品的市场维修价格提供产品维修。</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5.技术培训要求：乙方应安排专业技术人员提供现场技术培训，保证使用人员能正常操作设备的各种功能。</w:t>
      </w:r>
      <w:r/>
    </w:p>
    <w:p>
      <w:pPr>
        <w:ind w:right="0" w:firstLine="420"/>
        <w:jc w:val="left"/>
        <w:keepLines w:val="0"/>
        <w:keepNext w:val="0"/>
        <w:pageBreakBefore w:val="0"/>
        <w:spacing w:after="0" w:line="36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6.其他承诺</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根据项目实际情况填写</w:t>
      </w:r>
      <w:r>
        <w:rPr>
          <w:rFonts w:hint="eastAsia" w:ascii="宋体" w:hAnsi="宋体" w:eastAsia="宋体" w:cs="宋体"/>
          <w:spacing w:val="0"/>
          <w:sz w:val="21"/>
          <w:szCs w:val="21"/>
          <w:highlight w:val="none"/>
          <w:lang w:eastAsia="zh-CN"/>
        </w:rPr>
        <w:t xml:space="preserve">）</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八、违约责任</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1.</w:t>
      </w:r>
      <w:r>
        <w:rPr>
          <w:rFonts w:hint="eastAsia" w:ascii="宋体" w:hAnsi="宋体" w:eastAsia="宋体" w:cs="宋体"/>
          <w:spacing w:val="0"/>
          <w:sz w:val="21"/>
          <w:szCs w:val="21"/>
          <w:highlight w:val="none"/>
        </w:rPr>
        <w:t xml:space="preserve">乙方不履行或未按约定要求完全履行合同，甲方有权扣除履约保证金作为违约金。</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2.</w:t>
      </w:r>
      <w:r>
        <w:rPr>
          <w:rFonts w:hint="eastAsia" w:ascii="宋体" w:hAnsi="宋体" w:eastAsia="宋体" w:cs="宋体"/>
          <w:spacing w:val="0"/>
          <w:sz w:val="21"/>
          <w:szCs w:val="21"/>
          <w:highlight w:val="none"/>
        </w:rPr>
        <w:t xml:space="preserve">乙方逾期交货或者甲方逾期付款，应向对方支付违约金，迟延履行违约金以逾期部分价款总额每日千分之</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u w:val="single"/>
        </w:rPr>
        <w:t xml:space="preserve">八</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计算。任何一方逾期履行超过</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u w:val="single"/>
          <w:lang w:val="en-US" w:eastAsia="zh-CN"/>
        </w:rPr>
        <w:t xml:space="preserve">十</w:t>
      </w:r>
      <w:r>
        <w:rPr>
          <w:rFonts w:hint="eastAsia" w:ascii="宋体" w:hAnsi="宋体" w:eastAsia="宋体" w:cs="宋体"/>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天，应当以逾期部分价款总额</w:t>
      </w:r>
      <w:r>
        <w:rPr>
          <w:rFonts w:hint="eastAsia" w:ascii="宋体" w:hAnsi="宋体" w:eastAsia="宋体" w:cs="宋体"/>
          <w:b/>
          <w:bCs/>
          <w:spacing w:val="0"/>
          <w:sz w:val="21"/>
          <w:szCs w:val="21"/>
          <w:highlight w:val="none"/>
          <w:u w:val="single"/>
          <w:lang w:val="en-US" w:eastAsia="zh-CN"/>
        </w:rPr>
        <w:t xml:space="preserve">  </w:t>
      </w:r>
      <w:r>
        <w:rPr>
          <w:rFonts w:hint="eastAsia" w:ascii="宋体" w:hAnsi="宋体" w:eastAsia="宋体" w:cs="宋体"/>
          <w:b/>
          <w:bCs/>
          <w:spacing w:val="0"/>
          <w:sz w:val="21"/>
          <w:szCs w:val="21"/>
          <w:highlight w:val="none"/>
          <w:u w:val="single"/>
        </w:rPr>
        <w:t xml:space="preserve">5%</w:t>
      </w:r>
      <w:r>
        <w:rPr>
          <w:rFonts w:hint="eastAsia" w:ascii="宋体" w:hAnsi="宋体" w:eastAsia="宋体" w:cs="宋体"/>
          <w:b/>
          <w:bCs/>
          <w:spacing w:val="0"/>
          <w:sz w:val="21"/>
          <w:szCs w:val="21"/>
          <w:highlight w:val="none"/>
          <w:u w:val="single"/>
          <w:lang w:val="en-US" w:eastAsia="zh-CN"/>
        </w:rPr>
        <w:t xml:space="preserve">  </w:t>
      </w:r>
      <w:r>
        <w:rPr>
          <w:rFonts w:hint="eastAsia" w:ascii="宋体" w:hAnsi="宋体" w:eastAsia="宋体" w:cs="宋体"/>
          <w:spacing w:val="0"/>
          <w:sz w:val="21"/>
          <w:szCs w:val="21"/>
          <w:highlight w:val="none"/>
        </w:rPr>
        <w:t xml:space="preserve">向对方支付违约金，守约方有权解除合同或要求继续履行合同。</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3.</w:t>
      </w:r>
      <w:r>
        <w:rPr>
          <w:rFonts w:hint="eastAsia" w:ascii="宋体" w:hAnsi="宋体" w:eastAsia="宋体" w:cs="宋体"/>
          <w:spacing w:val="0"/>
          <w:sz w:val="21"/>
          <w:szCs w:val="21"/>
          <w:highlight w:val="none"/>
        </w:rPr>
        <w:t xml:space="preserve">提供的产品部件不符合谈判文件的技术要求，必须按要求进行修复、拆除或重新采购；若乙方拒不按要求更正的，将对乙方处以不低于2倍的罚款</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按不合格部件价值计算</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且乙方应承担由此发生的一切费用，延误的工期不予顺延。</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九、不可抗力</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1.本合同所称不可抗力，是指不能预见、不能避免并不能克服的客观情况。</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2.由于不可抗力事件，致使一方在履行其本合同项下的义务过程中遇到的障碍或延误，不能按规定的条款全部或部分履行其义务的，遇到不可抗力事件的一方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受阻方</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不应视为违反本合同。</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3.不可抗力事件终止或被排除后，受阻方应继续履行本合同，并应立即通知另一方。受阻方应可延长履行义务的时间，延长期应相当于不可抗力事件实际造成延误的时间。</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十、合同纠纷处理</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因履行本合同发生争议，由双方协商解决，解决不成则提交常州仲裁委员会仲裁。</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十一、生效</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本合同自双方签字盖章之日起生效。见证方对甲方通过见证方平台采购本合同标的的事实进行见证，本合同的履行与见证方无关。</w:t>
      </w:r>
      <w:r/>
    </w:p>
    <w:p>
      <w:pPr>
        <w:ind w:left="0" w:right="0" w:firstLine="0"/>
        <w:jc w:val="left"/>
        <w:keepLines w:val="0"/>
        <w:keepNext w:val="0"/>
        <w:pageBreakBefore w:val="0"/>
        <w:spacing w:after="0" w:line="336" w:lineRule="auto"/>
        <w:widowControl/>
        <w:rPr>
          <w:rFonts w:hint="eastAsia" w:ascii="宋体" w:hAnsi="宋体" w:eastAsia="宋体" w:cs="宋体"/>
          <w:b/>
          <w:bCs/>
          <w:spacing w:val="0"/>
          <w:sz w:val="21"/>
          <w:szCs w:val="21"/>
          <w:highlight w:val="none"/>
          <w:lang w:val="en-US" w:eastAsia="zh-CN"/>
        </w:rPr>
      </w:pPr>
      <w:r>
        <w:rPr>
          <w:rFonts w:hint="eastAsia" w:ascii="宋体" w:hAnsi="宋体" w:eastAsia="宋体" w:cs="宋体"/>
          <w:b/>
          <w:bCs/>
          <w:spacing w:val="0"/>
          <w:sz w:val="21"/>
          <w:szCs w:val="21"/>
          <w:highlight w:val="none"/>
          <w:lang w:val="en-US" w:eastAsia="zh-CN"/>
        </w:rPr>
        <w:t xml:space="preserve">十二、合同份数</w:t>
      </w:r>
      <w:r/>
    </w:p>
    <w:p>
      <w:pPr>
        <w:ind w:right="0" w:firstLine="420"/>
        <w:jc w:val="left"/>
        <w:keepLines w:val="0"/>
        <w:keepNext w:val="0"/>
        <w:pageBreakBefore w:val="0"/>
        <w:spacing w:after="0" w:line="336"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本合同一式伍份。甲方叁份、乙方贰份。</w:t>
      </w:r>
      <w:r/>
    </w:p>
    <w:p>
      <w:pPr>
        <w:ind w:right="0"/>
        <w:jc w:val="left"/>
        <w:keepLines w:val="0"/>
        <w:keepNext w:val="0"/>
        <w:pageBreakBefore w:val="0"/>
        <w:spacing w:after="0" w:line="360" w:lineRule="auto"/>
        <w:widowControl/>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r>
      <w:r/>
    </w:p>
    <w:tbl>
      <w:tblPr>
        <w:tblStyle w:val="801"/>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5"/>
        <w:gridCol w:w="4367"/>
      </w:tblGrid>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甲    方：</w:t>
            </w:r>
            <w:r/>
          </w:p>
        </w:tc>
        <w:tc>
          <w:tcPr>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乙   方：</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单位名称(公章）:</w:t>
            </w:r>
            <w:r>
              <w:rPr>
                <w:rFonts w:hint="eastAsia" w:ascii="宋体" w:hAnsi="宋体" w:eastAsia="宋体" w:cs="宋体"/>
                <w:spacing w:val="0"/>
                <w:sz w:val="21"/>
                <w:szCs w:val="21"/>
                <w:highlight w:val="none"/>
                <w:u w:val="single"/>
                <w:vertAlign w:val="baseline"/>
                <w:lang w:val="en-US" w:eastAsia="zh-CN"/>
              </w:rPr>
              <w:t xml:space="preserve"> 常州机电职业技术学院</w:t>
            </w:r>
            <w:r/>
          </w:p>
        </w:tc>
        <w:tc>
          <w:tcPr>
            <w:tcW w:w="4367" w:type="dxa"/>
            <w:vAlign w:val="center"/>
            <w:textDirection w:val="lrTb"/>
            <w:noWrap w:val="false"/>
          </w:tcPr>
          <w:p>
            <w:pPr>
              <w:ind w:right="0"/>
              <w:jc w:val="left"/>
              <w:keepLines w:val="0"/>
              <w:keepNext w:val="0"/>
              <w:pageBreakBefore w:val="0"/>
              <w:spacing w:after="0" w:line="240" w:lineRule="auto"/>
              <w:widowControl/>
              <w:rPr>
                <w:rFonts w:hint="default"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单位名称(公章）:</w:t>
            </w:r>
            <w:r>
              <w:rPr>
                <w:rFonts w:hint="eastAsia" w:ascii="宋体" w:hAnsi="宋体" w:eastAsia="宋体" w:cs="宋体"/>
                <w:spacing w:val="0"/>
                <w:sz w:val="21"/>
                <w:szCs w:val="21"/>
                <w:highlight w:val="none"/>
                <w:u w:val="single"/>
                <w:vertAlign w:val="baseline"/>
                <w:lang w:val="en-US" w:eastAsia="zh-CN"/>
              </w:rPr>
              <w:t xml:space="preserve">                        </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default"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单位地址：</w:t>
            </w:r>
            <w:r>
              <w:rPr>
                <w:rFonts w:hint="eastAsia" w:ascii="宋体" w:hAnsi="宋体" w:eastAsia="宋体" w:cs="宋体"/>
                <w:spacing w:val="0"/>
                <w:sz w:val="21"/>
                <w:szCs w:val="21"/>
                <w:highlight w:val="none"/>
                <w:u w:val="single"/>
                <w:vertAlign w:val="baseline"/>
                <w:lang w:val="en-US" w:eastAsia="zh-CN"/>
              </w:rPr>
              <w:t xml:space="preserve"> 常州市武进区鸣新中路26号  </w:t>
            </w:r>
            <w:r/>
          </w:p>
        </w:tc>
        <w:tc>
          <w:tcPr>
            <w:tcW w:w="4367" w:type="dxa"/>
            <w:vAlign w:val="center"/>
            <w:textDirection w:val="lrTb"/>
            <w:noWrap w:val="false"/>
          </w:tcPr>
          <w:p>
            <w:pPr>
              <w:ind w:right="0"/>
              <w:jc w:val="left"/>
              <w:keepLines w:val="0"/>
              <w:keepNext w:val="0"/>
              <w:pageBreakBefore w:val="0"/>
              <w:spacing w:after="0" w:line="240" w:lineRule="auto"/>
              <w:widowControl/>
              <w:rPr>
                <w:rFonts w:hint="default"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单位地址：</w:t>
            </w:r>
            <w:r>
              <w:rPr>
                <w:rFonts w:hint="eastAsia" w:ascii="宋体" w:hAnsi="宋体" w:eastAsia="宋体" w:cs="宋体"/>
                <w:spacing w:val="0"/>
                <w:sz w:val="21"/>
                <w:szCs w:val="21"/>
                <w:highlight w:val="none"/>
                <w:u w:val="single"/>
                <w:vertAlign w:val="baseline"/>
                <w:lang w:val="en-US" w:eastAsia="zh-CN"/>
              </w:rPr>
              <w:t xml:space="preserve">                             </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法定代表人：</w:t>
            </w:r>
            <w:r/>
          </w:p>
        </w:tc>
        <w:tc>
          <w:tcPr>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法定代表人：</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委托代理人：</w:t>
            </w:r>
            <w:r/>
          </w:p>
        </w:tc>
        <w:tc>
          <w:tcPr>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委托代理人：</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项目负责人：</w:t>
            </w:r>
            <w:r/>
          </w:p>
        </w:tc>
        <w:tc>
          <w:tcPr>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开户银行：农行邱墅支行</w:t>
            </w:r>
            <w:r/>
          </w:p>
        </w:tc>
        <w:tc>
          <w:tcPr>
            <w:shd w:val="clear" w:color="auto" w:fill="auto"/>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开户银行：</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账   号：10-605701040004030</w:t>
            </w:r>
            <w:r/>
          </w:p>
        </w:tc>
        <w:tc>
          <w:tcPr>
            <w:shd w:val="clear" w:color="auto" w:fill="auto"/>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color w:val="000000"/>
                <w:spacing w:val="0"/>
                <w:sz w:val="21"/>
                <w:szCs w:val="21"/>
                <w:highlight w:val="none"/>
                <w:vertAlign w:val="baseline"/>
                <w:lang w:val="en-US" w:eastAsia="zh-CN" w:bidi="ar-SA"/>
              </w:rPr>
            </w:pPr>
            <w:r>
              <w:rPr>
                <w:rFonts w:hint="eastAsia" w:ascii="宋体" w:hAnsi="宋体" w:eastAsia="宋体" w:cs="宋体"/>
                <w:spacing w:val="0"/>
                <w:sz w:val="21"/>
                <w:szCs w:val="21"/>
                <w:highlight w:val="none"/>
                <w:vertAlign w:val="baseline"/>
                <w:lang w:val="en-US" w:eastAsia="zh-CN"/>
              </w:rPr>
              <w:t xml:space="preserve">账   号：</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税   号：123200004660069658</w:t>
            </w:r>
            <w:r/>
          </w:p>
        </w:tc>
        <w:tc>
          <w:tcPr>
            <w:shd w:val="clear" w:color="auto" w:fill="auto"/>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color w:val="000000"/>
                <w:spacing w:val="0"/>
                <w:sz w:val="21"/>
                <w:szCs w:val="21"/>
                <w:highlight w:val="none"/>
                <w:vertAlign w:val="baseline"/>
                <w:lang w:val="en-US" w:eastAsia="zh-CN" w:bidi="ar-SA"/>
              </w:rPr>
            </w:pPr>
            <w:r>
              <w:rPr>
                <w:rFonts w:hint="eastAsia" w:ascii="宋体" w:hAnsi="宋体" w:eastAsia="宋体" w:cs="宋体"/>
                <w:spacing w:val="0"/>
                <w:sz w:val="21"/>
                <w:szCs w:val="21"/>
                <w:highlight w:val="none"/>
                <w:vertAlign w:val="baseline"/>
                <w:lang w:val="en-US" w:eastAsia="zh-CN"/>
              </w:rPr>
              <w:t xml:space="preserve">税   号：</w:t>
            </w:r>
            <w:r/>
          </w:p>
        </w:tc>
      </w:tr>
      <w:tr>
        <w:trPr>
          <w:jc w:val="center"/>
          <w:trHeight w:val="510"/>
        </w:trPr>
        <w:tc>
          <w:tcPr>
            <w:tcW w:w="4255"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spacing w:val="0"/>
                <w:sz w:val="21"/>
                <w:szCs w:val="21"/>
                <w:highlight w:val="none"/>
                <w:vertAlign w:val="baseline"/>
                <w:lang w:val="en-US" w:eastAsia="zh-CN"/>
              </w:rPr>
            </w:pPr>
            <w:r>
              <w:rPr>
                <w:rFonts w:hint="eastAsia" w:ascii="宋体" w:hAnsi="宋体" w:eastAsia="宋体" w:cs="宋体"/>
                <w:spacing w:val="0"/>
                <w:sz w:val="21"/>
                <w:szCs w:val="21"/>
                <w:highlight w:val="none"/>
                <w:vertAlign w:val="baseline"/>
                <w:lang w:val="en-US" w:eastAsia="zh-CN"/>
              </w:rPr>
              <w:t xml:space="preserve">电   话：</w:t>
            </w:r>
            <w:r/>
          </w:p>
        </w:tc>
        <w:tc>
          <w:tcPr>
            <w:shd w:val="clear" w:color="auto" w:fill="auto"/>
            <w:tcW w:w="4367" w:type="dxa"/>
            <w:vAlign w:val="center"/>
            <w:textDirection w:val="lrTb"/>
            <w:noWrap w:val="false"/>
          </w:tcPr>
          <w:p>
            <w:pPr>
              <w:ind w:right="0"/>
              <w:jc w:val="left"/>
              <w:keepLines w:val="0"/>
              <w:keepNext w:val="0"/>
              <w:pageBreakBefore w:val="0"/>
              <w:spacing w:after="0" w:line="240" w:lineRule="auto"/>
              <w:widowControl/>
              <w:rPr>
                <w:rFonts w:hint="eastAsia" w:ascii="宋体" w:hAnsi="宋体" w:eastAsia="宋体" w:cs="宋体"/>
                <w:color w:val="000000"/>
                <w:spacing w:val="0"/>
                <w:sz w:val="21"/>
                <w:szCs w:val="21"/>
                <w:highlight w:val="none"/>
                <w:vertAlign w:val="baseline"/>
                <w:lang w:val="en-US" w:eastAsia="zh-CN" w:bidi="ar-SA"/>
              </w:rPr>
            </w:pPr>
            <w:r>
              <w:rPr>
                <w:rFonts w:hint="eastAsia" w:ascii="宋体" w:hAnsi="宋体" w:eastAsia="宋体" w:cs="宋体"/>
                <w:spacing w:val="0"/>
                <w:sz w:val="21"/>
                <w:szCs w:val="21"/>
                <w:highlight w:val="none"/>
                <w:vertAlign w:val="baseline"/>
                <w:lang w:val="en-US" w:eastAsia="zh-CN"/>
              </w:rPr>
              <w:t xml:space="preserve">电   话：</w:t>
            </w:r>
            <w:r/>
          </w:p>
        </w:tc>
      </w:tr>
    </w:tbl>
    <w:p>
      <w:pP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br w:type="page" w:clear="all"/>
      </w:r>
      <w:r/>
    </w:p>
    <w:p>
      <w:pPr>
        <w:ind w:left="0" w:right="0" w:firstLine="0"/>
        <w:jc w:val="left"/>
        <w:keepLines w:val="0"/>
        <w:keepNext w:val="0"/>
        <w:pageBreakBefore w:val="0"/>
        <w:spacing w:after="0" w:line="360" w:lineRule="auto"/>
        <w:widowControl/>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 xml:space="preserve">附件1</w:t>
      </w:r>
      <w:r>
        <w:rPr>
          <w:rFonts w:hint="eastAsia" w:ascii="宋体" w:hAnsi="宋体" w:eastAsia="宋体" w:cs="宋体"/>
          <w:b/>
          <w:bCs/>
          <w:spacing w:val="0"/>
          <w:sz w:val="24"/>
          <w:szCs w:val="24"/>
          <w:highlight w:val="none"/>
          <w:lang w:eastAsia="zh-CN"/>
        </w:rPr>
        <w:t xml:space="preserve">、</w:t>
      </w:r>
      <w:r>
        <w:rPr>
          <w:rFonts w:hint="eastAsia" w:ascii="宋体" w:hAnsi="宋体" w:eastAsia="宋体" w:cs="宋体"/>
          <w:b/>
          <w:bCs/>
          <w:spacing w:val="0"/>
          <w:sz w:val="24"/>
          <w:szCs w:val="24"/>
          <w:highlight w:val="none"/>
        </w:rPr>
        <w:t xml:space="preserve">技术质量要求</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312"/>
        <w:gridCol w:w="7528"/>
      </w:tblGrid>
      <w:tr>
        <w:trPr/>
        <w:tc>
          <w:tcPr>
            <w:tcBorders>
              <w:top w:val="single" w:color="auto" w:sz="4" w:space="0"/>
              <w:left w:val="single" w:color="auto" w:sz="4" w:space="0"/>
              <w:bottom w:val="single" w:color="auto" w:sz="4" w:space="0"/>
              <w:right w:val="single" w:color="auto" w:sz="4" w:space="0"/>
            </w:tcBorders>
            <w:tcW w:w="798"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2"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7528" w:type="dxa"/>
            <w:vAlign w:val="top"/>
            <w:textDirection w:val="lrTb"/>
            <w:noWrap w:val="false"/>
          </w:tcPr>
          <w:p>
            <w:pPr>
              <w:jc w:val="cente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参数</w:t>
            </w:r>
            <w:r/>
          </w:p>
        </w:tc>
      </w:tr>
      <w:tr>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智能夹具综合实训平台</w:t>
            </w:r>
            <w:r/>
          </w:p>
        </w:tc>
        <w:tc>
          <w:tcPr>
            <w:tcBorders>
              <w:top w:val="single" w:color="auto" w:sz="4" w:space="0"/>
              <w:left w:val="single" w:color="auto" w:sz="4" w:space="0"/>
              <w:bottom w:val="single" w:color="auto" w:sz="4" w:space="0"/>
              <w:right w:val="single" w:color="auto" w:sz="4" w:space="0"/>
            </w:tcBorders>
            <w:tcW w:w="752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采用模块化设计，集成七轴工业机器人、实训台主体、气路控制模块、电路控制模块、伺服控制模块、仓储模块、检测校正模块、安全防护模块，各功能模块具体要求如下；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一、七轴工业机器人：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1.动作类型：多关节型；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2.控制轴数：≥7轴；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3.工作范围：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轴1: ≥ 320°；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轴2: ≥ 220°；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轴3: ≥ 280°；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轴4: ≥ 240°；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轴5: ≥ 360°；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轴6: ≥ 720°；</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轴7：≥ 600mm。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4.最大活动半径：≥920mm；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5.手部最大负载（手腕部）：≥10kg；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6.驱动方式：AC伺服电机；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7.自带防碰撞检测，无需外配，灵敏度可以设置调节；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8.重复定位精度：≤±0.05mm；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9.重量：≤120kg；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10.环境温度：0℃~45℃；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11.环境湿度：20%～80%RH；</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12.振动：≤4.9m/s²；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13.配套机器人原厂控制器、控制柜和示教器；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14.机器人具有敏感的力反馈特性，当达到已设定的力时会立即停止，在风险评估后可不需要安装保护栏，使人和机器人能协同工作；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15.设备并网通讯模组；</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16.具备工业远程I/O端口输入输出、10K热敏电阻输入、气压检测输入通道；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17.设备状态输出：启动、停止、机械报警、系统报警、运行状态、维护提醒、并网实时状态；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18.具备工件夹紧反馈输出功能；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19.机器人末端必须为球锁式结构，提供机器人末端的三维模型、二维图纸；</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20.机器人末端需要有配电块，配电块电信号≥9针；</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21.▲不同机床夹具，具有单独机器人程序，并能根据实训需要单独调用和修改；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22.▲机器人能与数字孪生互联，完成实时动态位置反馈和仿真。</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23.机器人可在不更换互换握爪情况下抓取不同机器人末端夹具。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二、实训台主体：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1.实训装置主体是钣金框架构架；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2.外形尺寸：≥长×宽×高2600mmX1400mm×1900mm；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3.外观材料：采用冷轧钢板，承重钣金厚度≥3mm，外观钣金厚度≥1.5mm；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4.实训台面材料：需用工业铝合金型材，并具有T型槽，便于快速安装智能夹具；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5.▲工作台面可安装多种设备夹具，并在实训台中模拟仿真夹具工作过程，提供模具电极项目案例、新能源压缩机涡旋叶轮项目案例的演示视频；</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6.控制台主体颜色：乳白色；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7.柜体设计活动门板，检修、维护方便；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8.整机容量：≥1kVA；</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9.电源输入：带有漏电保护功能，当由于接线错误而导致线路发生短路时，会自动断开电源，起到保护设备的功能；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10.电源信息：单相三线～220V±10%  50Hz，设有过流保护； PLC的电源单独控制；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11.具有2处抽拉抽屉，采用承重型轨道设计，每个抽屉可承载≥50kg；</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12.▲实训台具有可编程调控灯，灯条长度需不小于1米，颜色可自行编程；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13.▲投标人需提供操作台操作说明书复印件，操作说明书中需包含实训台的操作、气路操作、电路操作、实训台故障检测和实训台维护保养等，操作说明书不少于20页。；</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三、气路控制模块：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1.▲气路模块为可视化设计，并能90°翻转，能直观查看对应的</w:t>
            </w:r>
            <w:r>
              <w:rPr>
                <w:rFonts w:hint="eastAsia" w:ascii="黑体" w:hAnsi="黑体" w:eastAsia="黑体" w:cs="黑体"/>
                <w:sz w:val="21"/>
                <w:szCs w:val="21"/>
                <w:highlight w:val="none"/>
                <w:lang w:val="en-US" w:eastAsia="zh-CN"/>
              </w:rPr>
              <w:t xml:space="preserve">气路</w:t>
            </w:r>
            <w:r>
              <w:rPr>
                <w:rFonts w:hint="eastAsia" w:ascii="黑体" w:hAnsi="黑体" w:eastAsia="黑体" w:cs="黑体"/>
                <w:sz w:val="21"/>
                <w:szCs w:val="21"/>
                <w:highlight w:val="none"/>
              </w:rPr>
              <w:t xml:space="preserve">配件；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2.具有不少于8路气路，可自由组合，同时控制不同夹具；</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3.具有气压检测值信号，在气压不足时输出报警，机器人不得运行；</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4.气源可单独过滤，将气路中水分过滤并自动排出；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5.气路均为快插形式，便于夹具安装时的气路安装；</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6.气路模块与仿真软件互联，软件能实时读取状态。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四、电路控制模块：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1.▲电路控制模块为可视化设计，并能90°翻转，能直观查看对应的</w:t>
            </w:r>
            <w:r>
              <w:rPr>
                <w:rFonts w:hint="eastAsia" w:ascii="黑体" w:hAnsi="黑体" w:eastAsia="黑体" w:cs="黑体"/>
                <w:sz w:val="21"/>
                <w:szCs w:val="21"/>
                <w:highlight w:val="none"/>
                <w:lang w:val="en-US" w:eastAsia="zh-CN"/>
              </w:rPr>
              <w:t xml:space="preserve">电路</w:t>
            </w:r>
            <w:r>
              <w:rPr>
                <w:rFonts w:hint="eastAsia" w:ascii="黑体" w:hAnsi="黑体" w:eastAsia="黑体" w:cs="黑体"/>
                <w:sz w:val="21"/>
                <w:szCs w:val="21"/>
                <w:highlight w:val="none"/>
              </w:rPr>
              <w:t xml:space="preserve">配件工作状态；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2.输入输出：30 输入/24 输出；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3.集成：2AI/2AO 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4.输入输出点均连接到安全插口上；</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5.输入电源：DC24V；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6.通信集成模块：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7.通信交互功能：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8.▲具备通信交互功能，plc与客户端、MES 系统通信，通过局域网、设备信息相互传递，投标人须具备通信交互功能的自主知识产权，提供对应相关软件著作权证书复印件，复印件需盖投标人公章；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9.具备与自动化产线、信息交互，自动化产线的状态实时呈现功能；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10.具备移动终端PLC、IO、TCP、串口调试监控功能；</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11.低压电器采用防火材质；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12.具备产线故障设置及排除；</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13.具备自主控制操作面板；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14.通讯方式：TCP/MC/OPC 以太网协议；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15.电路控制模块与仿真软件能通讯控制互联，软件能实时读取电器状态等。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五、伺服控制模块；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1.▲伺服控制模块可视化设计，并能90°翻转，能直观查看对应伺服器；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2.机器人轴为单独控制，具有独立驱动器；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3.具有独立电源控制；</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4.输入电源：220V；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5.驱动器驱动轴数：≥7个；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六、仓储：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1.材料：铝合金；</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2.工件和机器人末端手爪需配套工件托板与手爪托板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3.工件托板、手爪托板与仓储区的连接方式为磁吸快换式，可通过机器人示教器进行上电消磁或上磁；</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2.每个工件库含有传感器，能实时监控料位上有无工件托板或者手爪托板；</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3.电源：24v；</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4.厚度≥2mm；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6.料库工位可根据实训夹具数量进行调整；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7.夹具定位为非完全定位，需具有一定间隙。</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七、检测校正模块：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辅助配套工具需满足所有实训台实训使用，对应需求配件如下：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1.校正导轨：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1）导轨长度：≥460mm；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2）有效行程：≥400mm；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3）直线度误差：≥200mm范围内±0.01mm；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4）线轨规格：≥30mm；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2.基准大理石：</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1）材质：大理石；</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2）精度：≥000级；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3）形状：直角；</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4）规格：250mm×160mm×50mm；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5）精度：000级；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3.杠杆百分表及表座：</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1）调节方式：万向节；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2）表精度：≤0.01mm；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3）表量程：≥0-0.8mm；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4）表规格：30mm。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4.零点校正仪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1）校正方式：激光测距；</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2）重复精度≤1mm;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3）光源：红色半导体激光，655nm；</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4）▲零点校正仪具备数显显示，快速校正零位功能，零点校正仪定位精度需小于0.01mm；零点校正仪需含有自校正模块，能校正检测仪误差（须提供配套机器人零位电子矫正仪真实使用图片，图片不少于3张）。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八、安全防护模块：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1.▲为了便于学员操作，操作三面采用安全光栅防护，机器人侧采用围栏防护。光栅长度不能少于1m，光栅信号需接入机器人暂停信号，自动运行时有人员进入时机器人能自动停止。</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2.▲需提供实训台实物图，标明光栅与围栏位置并加盖投标人公章；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3.具有安全防护监控，可远程实时监控学员操作情况，可以回放检查错误；</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4.光点光束：≥26光束；</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5.防护等级：IP65；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6.抗光干扰：≥10000LUX；</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7.响应时间：≤10MS</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8.工作温度：-10℃～+55℃；</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9.监控像素：≥200万；</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10.成像颜色：彩色；</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11.焦距：≥2mm；</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九、</w:t>
            </w:r>
            <w:r>
              <w:rPr>
                <w:rFonts w:hint="eastAsia" w:ascii="黑体" w:hAnsi="黑体" w:eastAsia="黑体" w:cs="黑体"/>
                <w:sz w:val="21"/>
                <w:szCs w:val="21"/>
                <w:highlight w:val="none"/>
              </w:rPr>
              <w:t xml:space="preserve">▲</w:t>
            </w:r>
            <w:r>
              <w:rPr>
                <w:rFonts w:hint="eastAsia" w:ascii="黑体" w:hAnsi="黑体" w:eastAsia="黑体" w:cs="黑体"/>
                <w:sz w:val="21"/>
                <w:szCs w:val="21"/>
                <w:highlight w:val="none"/>
                <w:lang w:val="en-US" w:eastAsia="zh-CN"/>
              </w:rPr>
              <w:t xml:space="preserve">投标人需具有对应机床夹具及机器人末端夹具教材出版经验，并承诺协助我院教师出版对应夹具教学教材，提供承诺函。</w:t>
            </w:r>
            <w:r/>
          </w:p>
        </w:tc>
      </w:tr>
      <w:tr>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数字孪生软件</w:t>
            </w:r>
            <w:r/>
          </w:p>
        </w:tc>
        <w:tc>
          <w:tcPr>
            <w:tcBorders>
              <w:top w:val="single" w:color="auto" w:sz="4" w:space="0"/>
              <w:left w:val="single" w:color="auto" w:sz="4" w:space="0"/>
              <w:bottom w:val="single" w:color="auto" w:sz="4" w:space="0"/>
              <w:right w:val="single" w:color="auto" w:sz="4" w:space="0"/>
            </w:tcBorders>
            <w:tcW w:w="752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1.▲数字孪生软件需与智能夹具实训台匹配使用，仿真动作和信号需与智能夹具实训台实际动作一致，需提供</w:t>
            </w:r>
            <w:r>
              <w:rPr>
                <w:rFonts w:hint="eastAsia" w:ascii="黑体" w:hAnsi="黑体" w:eastAsia="黑体" w:cs="黑体"/>
                <w:sz w:val="21"/>
                <w:szCs w:val="21"/>
                <w:highlight w:val="none"/>
                <w:lang w:val="en-US" w:eastAsia="zh-CN"/>
              </w:rPr>
              <w:t xml:space="preserve">软件截图</w:t>
            </w:r>
            <w:r>
              <w:rPr>
                <w:rFonts w:hint="eastAsia" w:ascii="黑体" w:hAnsi="黑体" w:eastAsia="黑体" w:cs="黑体"/>
                <w:sz w:val="21"/>
                <w:szCs w:val="21"/>
                <w:highlight w:val="none"/>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2.▲数字孪生软件为投标人自主研发，投标人需提供对应相关软件著作权证书复印件，复印件需加盖投标人公章。</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3.系统主要功能特点：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1）三维智能制造工厂场景能够任意方向旋转、视点切换以及360度全方位观看，具有直观立体，真实互动的效果。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2）以实际智能夹具为蓝本进行建模，与真实的实训台一致，结构完整。</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3）能够快速进行正视图、顶视图、右视图切换，操作使用人性化。</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4）能够全屏，查看机器人的运行、功能操作、场景模型等。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5）PLC信号的输入、输出工具，通过软件自带的PLC链接工具，读取PLC的输入、输出信号，在软件上实时反应运作。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6）通过软件自带的PLC链接工具，可接入多台PLC，读取多台PLC的输入、输出信号，在软件上实时反应运作。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7）具备与机器人仿真通信，实现在线仿真，仿真画面与实际机器人动作的仿联动。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8）具有查询仿真软件里的信息，如IO、寄存器。</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9）能与机器人互联，实现机器人动作与信号一致。</w:t>
            </w:r>
            <w:r/>
          </w:p>
        </w:tc>
      </w:tr>
      <w:tr>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夹具虚拟教学软件</w:t>
            </w:r>
            <w:r/>
          </w:p>
        </w:tc>
        <w:tc>
          <w:tcPr>
            <w:tcBorders>
              <w:top w:val="single" w:color="auto" w:sz="4" w:space="0"/>
              <w:left w:val="single" w:color="auto" w:sz="4" w:space="0"/>
              <w:bottom w:val="single" w:color="auto" w:sz="4" w:space="0"/>
              <w:right w:val="single" w:color="auto" w:sz="4" w:space="0"/>
            </w:tcBorders>
            <w:tcW w:w="752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1.内容要求：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1）包含夹具虚拟拆装教学模块、情景式教学模块、交互式媒体模块、设备虚拟拆装教学模块；</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2）学习模块视频类资源包括：夹具拆卸流程与夹具结构运动流程；</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3）训练模块包括：夹具结构拆卸与安装；</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4）考核模块包括：夹具结构拆卸与安装；</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rPr>
              <w:t xml:space="preserve">5）</w:t>
            </w:r>
            <w:r>
              <w:rPr>
                <w:rFonts w:hint="eastAsia" w:ascii="黑体" w:hAnsi="黑体" w:eastAsia="黑体" w:cs="黑体"/>
                <w:sz w:val="21"/>
                <w:szCs w:val="21"/>
                <w:highlight w:val="none"/>
                <w:lang w:val="en-US" w:eastAsia="zh-CN"/>
              </w:rPr>
              <w:t xml:space="preserve">包含案例：案例需包含专用夹具及智能产线夹具其中专用夹具包含以下案例：下压式钻床夹具、箱式钻床夹具、管接头成组车床夹具、成组车床夹具、角铁式车床夹具、连续夹紧可调铣床夹具、环形工件铣床夹具、拨叉键槽铣床夹具等；智能产线夹具需包含以下案例：柔性定位片球锁式夹具、锥形拉钉球锁式夹具、两爪自定心式卡盘夹具、内撑（内胀) 式夹具、膜片式卡盘夹具、简夹式卡盘夹具等；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lang w:val="en-US" w:eastAsia="zh-CN"/>
              </w:rPr>
              <w:t xml:space="preserve">6）</w:t>
            </w:r>
            <w:r>
              <w:rPr>
                <w:rFonts w:hint="eastAsia" w:ascii="黑体" w:hAnsi="黑体" w:eastAsia="黑体" w:cs="黑体"/>
                <w:sz w:val="21"/>
                <w:szCs w:val="21"/>
                <w:highlight w:val="none"/>
              </w:rPr>
              <w:t xml:space="preserve">提供一套夹具案例的各个功能模块截图，截图需清楚标明结构认知学习模块、夹具拆装训练模块、考核拆装模块等位置。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2.品质要求：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1）动画色彩造型应和谐，帧与帧之间的关联性要强；动画演播过程流畅，播放时无明显噪点，无卡顿现象；</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2）动画画工精细，画风正确表达微课内容；</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3）动画界面设计符合阅读习惯，简洁大方、配色合理。包括影片中各个主场景色彩气氛图、平面场景图、立体分层图、景物结构图等；</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4）动画内容符合我国法律法规，尊重各民族的风俗习惯，版权不存在争议。若其中包含少数民族或外国语言文字信息，应遵循其原内容完整性，使用原语言进行处理；</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5）交互操作方式合理，交互逻辑清晰；</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6）有清晰的系统帮助，有实时的操作提示。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3.帮助提示相关要求：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1）▲软件</w:t>
            </w:r>
            <w:r>
              <w:rPr>
                <w:rFonts w:hint="eastAsia" w:ascii="黑体" w:hAnsi="黑体" w:eastAsia="黑体" w:cs="黑体"/>
                <w:sz w:val="21"/>
                <w:szCs w:val="21"/>
                <w:highlight w:val="none"/>
                <w:lang w:val="en-US" w:eastAsia="zh-CN"/>
              </w:rPr>
              <w:t xml:space="preserve">需</w:t>
            </w:r>
            <w:r>
              <w:rPr>
                <w:rFonts w:hint="eastAsia" w:ascii="黑体" w:hAnsi="黑体" w:eastAsia="黑体" w:cs="黑体"/>
                <w:sz w:val="21"/>
                <w:szCs w:val="21"/>
                <w:highlight w:val="none"/>
              </w:rPr>
              <w:t xml:space="preserve">提供详细的用户手册，说明软件系统要求、操作方法</w:t>
            </w:r>
            <w:r>
              <w:rPr>
                <w:rFonts w:hint="eastAsia" w:ascii="黑体" w:hAnsi="黑体" w:eastAsia="黑体" w:cs="黑体"/>
                <w:sz w:val="21"/>
                <w:szCs w:val="21"/>
                <w:highlight w:val="none"/>
                <w:lang w:val="en-US" w:eastAsia="zh-CN"/>
              </w:rPr>
              <w:t xml:space="preserve">等</w:t>
            </w:r>
            <w:r>
              <w:rPr>
                <w:rFonts w:hint="eastAsia" w:ascii="黑体" w:hAnsi="黑体" w:eastAsia="黑体" w:cs="黑体"/>
                <w:sz w:val="21"/>
                <w:szCs w:val="21"/>
                <w:highlight w:val="none"/>
                <w:lang w:eastAsia="zh-CN"/>
              </w:rPr>
              <w:t xml:space="preserve">。</w:t>
            </w:r>
            <w:r>
              <w:rPr>
                <w:rFonts w:hint="eastAsia" w:ascii="黑体" w:hAnsi="黑体" w:eastAsia="黑体" w:cs="黑体"/>
                <w:sz w:val="21"/>
                <w:szCs w:val="21"/>
                <w:highlight w:val="none"/>
                <w:lang w:val="en-US" w:eastAsia="zh-CN"/>
              </w:rPr>
              <w:t xml:space="preserve">投标供应商需</w:t>
            </w:r>
            <w:r>
              <w:rPr>
                <w:rFonts w:hint="eastAsia" w:ascii="黑体" w:hAnsi="黑体" w:eastAsia="黑体" w:cs="黑体"/>
                <w:sz w:val="21"/>
                <w:szCs w:val="21"/>
                <w:highlight w:val="none"/>
              </w:rPr>
              <w:t xml:space="preserve">提供软件</w:t>
            </w:r>
            <w:r>
              <w:rPr>
                <w:rFonts w:hint="eastAsia" w:ascii="黑体" w:hAnsi="黑体" w:eastAsia="黑体" w:cs="黑体"/>
                <w:sz w:val="21"/>
                <w:szCs w:val="21"/>
                <w:highlight w:val="none"/>
                <w:lang w:val="en-US" w:eastAsia="zh-CN"/>
              </w:rPr>
              <w:t xml:space="preserve">用户手册</w:t>
            </w:r>
            <w:r>
              <w:rPr>
                <w:rFonts w:hint="eastAsia" w:ascii="黑体" w:hAnsi="黑体" w:eastAsia="黑体" w:cs="黑体"/>
                <w:sz w:val="21"/>
                <w:szCs w:val="21"/>
                <w:highlight w:val="none"/>
              </w:rPr>
              <w:t xml:space="preserve">截图</w:t>
            </w:r>
            <w:r>
              <w:rPr>
                <w:rFonts w:hint="eastAsia" w:ascii="黑体" w:hAnsi="黑体" w:eastAsia="黑体" w:cs="黑体"/>
                <w:sz w:val="21"/>
                <w:szCs w:val="21"/>
                <w:highlight w:val="none"/>
                <w:lang w:eastAsia="zh-CN"/>
              </w:rPr>
              <w:t xml:space="preserve">，</w:t>
            </w:r>
            <w:r>
              <w:rPr>
                <w:rFonts w:hint="eastAsia" w:ascii="黑体" w:hAnsi="黑体" w:eastAsia="黑体" w:cs="黑体"/>
                <w:sz w:val="21"/>
                <w:szCs w:val="21"/>
                <w:highlight w:val="none"/>
                <w:lang w:val="en-US" w:eastAsia="zh-CN"/>
              </w:rPr>
              <w:t xml:space="preserve">截图需盖投标供应商公章</w:t>
            </w:r>
            <w:r>
              <w:rPr>
                <w:rFonts w:hint="eastAsia" w:ascii="黑体" w:hAnsi="黑体" w:eastAsia="黑体" w:cs="黑体"/>
                <w:sz w:val="21"/>
                <w:szCs w:val="21"/>
                <w:highlight w:val="none"/>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2）针对每步操作要对具体操作对象进行提示，要求该模型以高亮进行显示。</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4.工具相关要求：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1）工具须摆放在工具台面上，相似工具按规格依次放置；</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工具及螺丝包括：断面密封胶、螺纹紧固胶、马克笔、扭矩扳手、声波张力仪、M2内六角扳手、M3内六角扳手、M4内六角扳手、M5内六角扳手、M6内六角扳手、十字螺丝刀、一字螺丝刀、内拉马、外拉马、斜口钳、橡胶锤、润滑脂、3轴同步带调节工装、扎带、M3×8内六角螺栓、M3×10内六角螺栓、M3×16内六角螺栓、M3×25内六角螺栓、M4×8-字螺栓、M4×16内六角螺栓、M4×20内六角螺栓、M4×25内六角螺栓、M4×40内六角螺栓、M5×25内六角螺栓；</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5.操作过程和操作方法要求：</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1）在考核模式下不能以固定的线性流程进行操作，要求以实际的装调逻辑随意操作；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2）螺钉须匹配其规格，工具也要使用对应规格进行操作；</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3）在虚拟场景内可以通过第一人称视角进行漫游，也可以切换到自由视角方便对操作的过程进行观察；</w:t>
            </w:r>
            <w:r/>
          </w:p>
        </w:tc>
      </w:tr>
      <w:tr>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智能产线夹具资源包</w:t>
            </w:r>
            <w:r/>
          </w:p>
        </w:tc>
        <w:tc>
          <w:tcPr>
            <w:tcBorders>
              <w:top w:val="single" w:color="auto" w:sz="4" w:space="0"/>
              <w:left w:val="single" w:color="auto" w:sz="4" w:space="0"/>
              <w:bottom w:val="single" w:color="auto" w:sz="4" w:space="0"/>
              <w:right w:val="single" w:color="auto" w:sz="4" w:space="0"/>
            </w:tcBorders>
            <w:tcW w:w="7528" w:type="dxa"/>
            <w:vAlign w:val="top"/>
            <w:textDirection w:val="lrTb"/>
            <w:noWrap w:val="false"/>
          </w:tcPr>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lang w:eastAsia="zh-CN"/>
              </w:rPr>
              <w:t xml:space="preserve">1.▲资源包需包含以下项目：模具电极项目案例、模具型芯项目案例、发动机活塞项目案例、音响外壳项目案例、新能源压缩机涡旋叶轮项目案例、高速电机轴芯项目案例：</w:t>
            </w:r>
            <w:r/>
          </w:p>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lang w:eastAsia="zh-CN"/>
              </w:rPr>
              <w:t xml:space="preserve">2.资源包里包含2D图纸（包含爆炸图、产品图、装配图）≥30张、3D模型文件（需包含六个项目的手爪、夹具、工件的模型）≥18个、案例的仿真视频≥26个、案例教材≥6个：</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3.▲提供模具电极案例的爆炸图、产品图、装配图各一张的截图并加盖投标人公章，所提供文档需与提供货物一致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rPr>
              <w:t xml:space="preserve">4.▲提供模具电极案例的模型截图，截图需包含单动剪刀式手爪模型、柔性定位片式球锁式卡盘模型、柔性定位片式电极座模型，模型截图加盖投标人公章，所提供模型需与提供货物一致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lang w:eastAsia="zh-CN"/>
              </w:rPr>
            </w:pPr>
            <w:r>
              <w:rPr>
                <w:rFonts w:hint="eastAsia" w:ascii="黑体" w:hAnsi="黑体" w:eastAsia="黑体" w:cs="黑体"/>
                <w:sz w:val="21"/>
                <w:szCs w:val="21"/>
                <w:highlight w:val="none"/>
              </w:rPr>
              <w:t xml:space="preserve">5.▲3D图中，标准件需体现标准国标代码与国标名称，提供3D装配图需清楚体现</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eastAsia" w:ascii="黑体" w:hAnsi="黑体" w:eastAsia="黑体" w:cs="黑体"/>
                <w:sz w:val="21"/>
                <w:szCs w:val="21"/>
                <w:highlight w:val="none"/>
              </w:rPr>
            </w:pPr>
            <w:r>
              <w:rPr>
                <w:rFonts w:hint="eastAsia" w:ascii="黑体" w:hAnsi="黑体" w:eastAsia="黑体" w:cs="黑体"/>
                <w:sz w:val="21"/>
                <w:szCs w:val="21"/>
                <w:highlight w:val="none"/>
                <w:lang w:val="en-US" w:eastAsia="zh-CN"/>
              </w:rPr>
              <w:t xml:space="preserve">6</w:t>
            </w:r>
            <w:r>
              <w:rPr>
                <w:rFonts w:hint="eastAsia" w:ascii="黑体" w:hAnsi="黑体" w:eastAsia="黑体" w:cs="黑体"/>
                <w:sz w:val="21"/>
                <w:szCs w:val="21"/>
                <w:highlight w:val="none"/>
              </w:rPr>
              <w:t xml:space="preserve">.▲提供模具电极项目案例的教材截图并加盖投标人公章；提供模具电极项目案例截图需包含工件介绍和技术要求，所提供教材需与提供货物一致</w:t>
            </w:r>
            <w:r>
              <w:rPr>
                <w:rFonts w:hint="eastAsia" w:ascii="黑体" w:hAnsi="黑体" w:eastAsia="黑体" w:cs="黑体"/>
                <w:sz w:val="21"/>
                <w:szCs w:val="21"/>
                <w:highlight w:val="none"/>
                <w:lang w:eastAsia="zh-CN"/>
              </w:rPr>
              <w:t xml:space="preserve">：</w:t>
            </w:r>
            <w:r/>
          </w:p>
          <w:p>
            <w:pPr>
              <w:keepLines w:val="0"/>
              <w:keepNext w:val="0"/>
              <w:pageBreakBefore w:val="0"/>
              <w:spacing w:after="0" w:line="240" w:lineRule="auto"/>
              <w:widowControl w:val="off"/>
              <w:rPr>
                <w:rFonts w:hint="default" w:ascii="黑体" w:hAnsi="黑体" w:eastAsia="黑体" w:cs="黑体"/>
                <w:sz w:val="21"/>
                <w:szCs w:val="21"/>
                <w:highlight w:val="none"/>
                <w:lang w:val="en-US" w:eastAsia="zh-CN"/>
              </w:rPr>
            </w:pPr>
            <w:r>
              <w:rPr>
                <w:rFonts w:hint="eastAsia" w:ascii="黑体" w:hAnsi="黑体" w:eastAsia="黑体" w:cs="黑体"/>
                <w:sz w:val="21"/>
                <w:szCs w:val="21"/>
                <w:highlight w:val="none"/>
                <w:lang w:val="en-US" w:eastAsia="zh-CN"/>
              </w:rPr>
              <w:t xml:space="preserve">7.投标供应商需根据资源库内容进行教师培训，培训人员需具有夹具相关培训经验。</w:t>
            </w:r>
            <w:r/>
          </w:p>
        </w:tc>
      </w:tr>
    </w:tbl>
    <w:p>
      <w:pPr>
        <w:spacing w:line="4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注：上述格式及内容仅供参考，具体以甲乙双方签订合同时内容为准。</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bookmarkEnd w:id="819"/>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outlineLvl w:val="0"/>
      </w:pPr>
      <w:r/>
      <w:bookmarkStart w:id="820" w:name="_Toc99301426"/>
      <w:r>
        <w:rPr>
          <w:rFonts w:hint="eastAsia" w:ascii="宋体" w:hAnsi="宋体" w:eastAsia="宋体" w:cs="宋体"/>
          <w:b/>
          <w:color w:val="000000"/>
          <w:sz w:val="36"/>
          <w:szCs w:val="36"/>
          <w:highlight w:val="none"/>
        </w:rPr>
        <w:br w:type="page" w:clear="all"/>
      </w:r>
      <w:bookmarkStart w:id="821" w:name="_Toc16922"/>
      <w:r>
        <w:rPr>
          <w:rFonts w:hint="eastAsia" w:ascii="宋体" w:hAnsi="宋体" w:eastAsia="宋体" w:cs="宋体"/>
          <w:b/>
          <w:color w:val="000000"/>
          <w:sz w:val="36"/>
          <w:szCs w:val="36"/>
          <w:highlight w:val="none"/>
        </w:rPr>
        <w:t xml:space="preserve">第七章   投标文件格式</w:t>
      </w:r>
      <w:bookmarkEnd w:id="820"/>
      <w:r/>
      <w:bookmarkEnd w:id="821"/>
      <w:r/>
      <w:r/>
    </w:p>
    <w:p>
      <w:pPr>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ind w:left="142" w:firstLine="48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
    </w:p>
    <w:p>
      <w:pPr>
        <w:jc w:val="left"/>
        <w:keepLines/>
        <w:keepNext/>
        <w:spacing w:before="120" w:line="300" w:lineRule="auto"/>
        <w:rPr>
          <w:rFonts w:hint="eastAsia" w:ascii="宋体" w:hAnsi="宋体" w:eastAsia="宋体" w:cs="宋体"/>
          <w:b/>
          <w:color w:val="000000"/>
          <w:sz w:val="30"/>
          <w:szCs w:val="20"/>
          <w:highlight w:val="none"/>
        </w:rPr>
        <w:outlineLvl w:val="1"/>
      </w:pPr>
      <w:r>
        <w:rPr>
          <w:rFonts w:hint="eastAsia" w:ascii="宋体" w:hAnsi="宋体" w:eastAsia="宋体" w:cs="宋体"/>
          <w:b/>
          <w:color w:val="000000"/>
          <w:spacing w:val="20"/>
          <w:sz w:val="24"/>
          <w:highlight w:val="none"/>
        </w:rPr>
        <w:t xml:space="preserve">一、资格证明文件格式</w:t>
      </w:r>
      <w:r/>
    </w:p>
    <w:p>
      <w:pPr>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b/>
          <w:color w:val="000000"/>
          <w:sz w:val="24"/>
          <w:highlight w:val="none"/>
        </w:rPr>
        <w:t xml:space="preserve">满足《中华人民共和国政府采购法》第二十二条规定及法律法规的其他规定</w:t>
      </w:r>
      <w:r/>
    </w:p>
    <w:p>
      <w:pPr>
        <w:pStyle w:val="996"/>
        <w:rPr>
          <w:rFonts w:hint="eastAsia" w:ascii="宋体" w:hAnsi="宋体" w:eastAsia="宋体" w:cs="宋体"/>
          <w:b w:val="0"/>
          <w:bCs/>
          <w:color w:val="000000"/>
          <w:highlight w:val="none"/>
          <w:u w:val="none"/>
        </w:rPr>
      </w:pPr>
      <w:r>
        <w:rPr>
          <w:rFonts w:hint="eastAsia" w:ascii="宋体" w:hAnsi="宋体" w:eastAsia="宋体" w:cs="宋体"/>
          <w:b w:val="0"/>
          <w:color w:val="000000"/>
          <w:highlight w:val="none"/>
          <w:u w:val="none"/>
        </w:rPr>
        <w:t xml:space="preserve">1-1 </w:t>
      </w:r>
      <w:r>
        <w:rPr>
          <w:rFonts w:hint="eastAsia" w:ascii="宋体" w:hAnsi="宋体" w:eastAsia="宋体" w:cs="宋体"/>
          <w:color w:val="000000"/>
          <w:highlight w:val="none"/>
          <w:u w:val="none"/>
        </w:rPr>
        <w:t xml:space="preserve">投标人资格声明函（实质性格式）</w:t>
      </w:r>
      <w:r/>
    </w:p>
    <w:p>
      <w:pPr>
        <w:jc w:val="center"/>
        <w:spacing w:before="120"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before="120"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8"/>
          <w:szCs w:val="28"/>
          <w:highlight w:val="none"/>
        </w:rPr>
        <w:t xml:space="preserve">投标人资格声明函</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ind w:firstLine="48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常州青果招投标有限公司</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招标人</w:t>
      </w:r>
      <w:r>
        <w:rPr>
          <w:rFonts w:hint="eastAsia" w:ascii="宋体" w:hAnsi="宋体" w:eastAsia="宋体" w:cs="宋体"/>
          <w:color w:val="000000"/>
          <w:highlight w:val="none"/>
          <w:u w:val="single"/>
        </w:rPr>
        <w:t xml:space="preserve">名称）</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如在参加政府采购活动前3年内因违法经营被禁止在一定期限内参加政府采购活动，期限届满的，可以参加政府采购活动。）</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p>
    <w:p>
      <w:pPr>
        <w:pStyle w:val="993"/>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p>
    <w:p>
      <w:pPr>
        <w:pStyle w:val="993"/>
        <w:ind w:firstLine="49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highlight w:val="none"/>
        </w:rPr>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t xml:space="preserve">2 落实政府采购政策需满足的资格要求（实质性格式</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如有</w:t>
      </w:r>
      <w:r>
        <w:rPr>
          <w:rFonts w:hint="eastAsia" w:ascii="宋体" w:hAnsi="宋体" w:eastAsia="宋体" w:cs="宋体"/>
          <w:b/>
          <w:color w:val="000000"/>
          <w:sz w:val="24"/>
          <w:szCs w:val="20"/>
          <w:highlight w:val="none"/>
        </w:rPr>
        <w:t xml:space="preserve">）</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t xml:space="preserve">2-1 </w:t>
      </w:r>
      <w:r>
        <w:rPr>
          <w:rFonts w:hint="eastAsia" w:ascii="宋体" w:hAnsi="宋体" w:eastAsia="宋体" w:cs="宋体"/>
          <w:b/>
          <w:color w:val="000000"/>
          <w:sz w:val="24"/>
          <w:highlight w:val="none"/>
        </w:rPr>
        <w:t xml:space="preserve">其它落实政府采购政策的资格要求</w:t>
      </w:r>
      <w:r>
        <w:rPr>
          <w:rFonts w:hint="eastAsia" w:ascii="宋体" w:hAnsi="宋体" w:eastAsia="宋体" w:cs="宋体"/>
          <w:b/>
          <w:color w:val="000000"/>
          <w:sz w:val="24"/>
          <w:szCs w:val="20"/>
          <w:highlight w:val="none"/>
        </w:rPr>
        <w:t xml:space="preserve">（实质性格式</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如有</w:t>
      </w:r>
      <w:r>
        <w:rPr>
          <w:rFonts w:hint="eastAsia" w:ascii="宋体" w:hAnsi="宋体" w:eastAsia="宋体" w:cs="宋体"/>
          <w:b/>
          <w:color w:val="000000"/>
          <w:sz w:val="24"/>
          <w:szCs w:val="20"/>
          <w:highlight w:val="none"/>
        </w:rPr>
        <w:t xml:space="preserve">）</w:t>
      </w:r>
      <w:r/>
    </w:p>
    <w:p>
      <w:pPr>
        <w:spacing w:line="360" w:lineRule="auto"/>
        <w:rPr>
          <w:color w:val="auto"/>
          <w:sz w:val="24"/>
          <w:szCs w:val="20"/>
          <w:highlight w:val="none"/>
        </w:rPr>
        <w:outlineLvl w:val="3"/>
      </w:pPr>
      <w:r>
        <w:rPr>
          <w:color w:val="auto"/>
          <w:sz w:val="24"/>
          <w:szCs w:val="20"/>
          <w:highlight w:val="none"/>
        </w:rPr>
        <w:t xml:space="preserve">2-1中小企业声明函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中小企业声明函（货物）格式</w:t>
      </w:r>
      <w:r/>
    </w:p>
    <w:p>
      <w:pPr>
        <w:ind w:left="220" w:right="415" w:firstLine="6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i/>
          <w:color w:val="000000"/>
          <w:sz w:val="24"/>
          <w:highlight w:val="none"/>
          <w:u w:val="single"/>
        </w:rPr>
        <w:t xml:space="preserve">（项目名称）</w:t>
      </w:r>
      <w:r>
        <w:rPr>
          <w:rFonts w:hint="eastAsia" w:ascii="宋体" w:hAnsi="宋体" w:eastAsia="宋体" w:cs="宋体"/>
          <w:color w:val="000000"/>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21"/>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"_bookmark0"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16"/>
          <w:sz w:val="24"/>
          <w:highlight w:val="none"/>
        </w:rPr>
        <w:t xml:space="preserve">1</w:t>
      </w:r>
      <w:r>
        <w:rPr>
          <w:rFonts w:hint="eastAsia" w:ascii="宋体" w:hAnsi="宋体" w:eastAsia="宋体" w:cs="宋体"/>
          <w:color w:val="000000"/>
          <w:position w:val="16"/>
          <w:sz w:val="24"/>
          <w:highlight w:val="none"/>
        </w:rPr>
        <w:fldChar w:fldCharType="end"/>
      </w:r>
      <w:r>
        <w:rPr>
          <w:rFonts w:hint="eastAsia" w:ascii="宋体" w:hAnsi="宋体" w:eastAsia="宋体" w:cs="宋体"/>
          <w:color w:val="000000"/>
          <w:sz w:val="24"/>
          <w:highlight w:val="none"/>
        </w:rPr>
        <w:t xml:space="preserve">，属于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numPr>
          <w:ilvl w:val="0"/>
          <w:numId w:val="21"/>
        </w:numPr>
        <w:ind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color w:val="000000"/>
          <w:sz w:val="24"/>
          <w:highlight w:val="none"/>
        </w:rPr>
      </w:pPr>
      <w:r>
        <w:rPr>
          <w:rFonts w:hint="eastAsia" w:ascii="宋体" w:hAnsi="宋体" w:eastAsia="宋体" w:cs="宋体"/>
          <w:i/>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rPr>
        <w:t xml:space="preserve">；制造商为</w:t>
      </w:r>
      <w:r>
        <w:rPr>
          <w:rFonts w:hint="eastAsia" w:ascii="宋体" w:hAnsi="宋体" w:eastAsia="宋体" w:cs="宋体"/>
          <w:i/>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万元，属于</w:t>
      </w:r>
      <w:r>
        <w:rPr>
          <w:rFonts w:hint="eastAsia" w:ascii="宋体" w:hAnsi="宋体" w:eastAsia="宋体" w:cs="宋体"/>
          <w:i/>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p>
    <w:p>
      <w:pPr>
        <w:ind w:left="8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ind w:left="220" w:right="417" w:firstLine="64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77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rPr>
          <w:rFonts w:hint="eastAsia"/>
          <w:color w:val="auto"/>
          <w:highlight w:val="none"/>
        </w:rPr>
      </w:pPr>
      <w:r>
        <w:rPr>
          <w:rFonts w:hint="eastAsia"/>
          <w:color w:val="auto"/>
          <w:highlight w:val="none"/>
        </w:rPr>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before="240" w:after="24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jc w:val="center"/>
        <w:spacing w:before="240" w:after="240" w:line="360" w:lineRule="auto"/>
        <w:rPr>
          <w:rFonts w:hint="eastAsia" w:ascii="宋体" w:hAnsi="宋体" w:eastAsia="宋体" w:cs="宋体"/>
          <w:color w:val="000000"/>
          <w:sz w:val="36"/>
          <w:szCs w:val="36"/>
          <w:highlight w:val="none"/>
        </w:rPr>
      </w:pPr>
      <w:r/>
      <w:bookmarkStart w:id="914" w:name="_GoBack"/>
      <w:r/>
      <w:bookmarkEnd w:id="914"/>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color w:val="000000"/>
          <w:sz w:val="36"/>
          <w:szCs w:val="36"/>
          <w:highlight w:val="none"/>
        </w:rPr>
        <w:t xml:space="preserve"> </w:t>
      </w:r>
      <w:r/>
    </w:p>
    <w:p>
      <w:pPr>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p>
    <w:p>
      <w:pPr>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b/>
          <w:color w:val="000000"/>
          <w:sz w:val="24"/>
          <w:highlight w:val="none"/>
        </w:rPr>
      </w:pPr>
      <w:r>
        <w:rPr>
          <w:rFonts w:hint="eastAsia" w:ascii="宋体" w:hAnsi="宋体" w:eastAsia="宋体" w:cs="宋体"/>
          <w:color w:val="000000"/>
          <w:spacing w:val="6"/>
          <w:sz w:val="24"/>
          <w:highlight w:val="none"/>
        </w:rPr>
        <w:t xml:space="preserve">       日  期：</w:t>
      </w:r>
      <w:r/>
    </w:p>
    <w:p>
      <w:pPr>
        <w:spacing w:line="240" w:lineRule="auto"/>
        <w:rPr>
          <w:rFonts w:hint="eastAsia" w:ascii="宋体" w:hAnsi="宋体" w:eastAsia="宋体" w:cs="宋体"/>
          <w:b/>
          <w:color w:val="000000"/>
          <w:sz w:val="24"/>
          <w:szCs w:val="20"/>
          <w:highlight w:val="none"/>
        </w:rPr>
        <w:outlineLvl w:val="9"/>
      </w:pPr>
      <w:r>
        <w:rPr>
          <w:rFonts w:hint="eastAsia" w:ascii="宋体" w:hAnsi="宋体" w:eastAsia="宋体" w:cs="宋体"/>
          <w:b/>
          <w:color w:val="000000"/>
          <w:sz w:val="24"/>
          <w:szCs w:val="20"/>
          <w:highlight w:val="none"/>
        </w:rPr>
        <w:br w:type="page" w:clear="all"/>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szCs w:val="20"/>
          <w:highlight w:val="none"/>
        </w:rPr>
        <w:t xml:space="preserve">3 本项目的特定资格要求（实质性格式</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如有</w:t>
      </w:r>
      <w:r>
        <w:rPr>
          <w:rFonts w:hint="eastAsia" w:ascii="宋体" w:hAnsi="宋体" w:eastAsia="宋体" w:cs="宋体"/>
          <w:b/>
          <w:color w:val="000000"/>
          <w:sz w:val="24"/>
          <w:szCs w:val="20"/>
          <w:highlight w:val="none"/>
        </w:rPr>
        <w:t xml:space="preserve">）</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t xml:space="preserve">3-1 其他特定资格要求（实质性格式</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如有</w:t>
      </w:r>
      <w:r>
        <w:rPr>
          <w:rFonts w:hint="eastAsia" w:ascii="宋体" w:hAnsi="宋体" w:eastAsia="宋体" w:cs="宋体"/>
          <w:b/>
          <w:color w:val="000000"/>
          <w:sz w:val="24"/>
          <w:szCs w:val="20"/>
          <w:highlight w:val="none"/>
        </w:rPr>
        <w:t xml:space="preserve">）</w:t>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keepLines w:val="0"/>
        <w:keepNext w:val="0"/>
        <w:spacing w:before="0" w:line="240" w:lineRule="auto"/>
        <w:rPr>
          <w:rFonts w:hint="eastAsia" w:ascii="宋体" w:hAnsi="宋体" w:eastAsia="宋体" w:cs="宋体"/>
          <w:b/>
          <w:color w:val="000000"/>
          <w:spacing w:val="20"/>
          <w:sz w:val="24"/>
          <w:highlight w:val="none"/>
        </w:rPr>
        <w:outlineLvl w:val="9"/>
      </w:pPr>
      <w:r>
        <w:rPr>
          <w:rFonts w:hint="eastAsia" w:ascii="宋体" w:hAnsi="宋体" w:eastAsia="宋体" w:cs="宋体"/>
          <w:b/>
          <w:color w:val="000000"/>
          <w:spacing w:val="20"/>
          <w:sz w:val="24"/>
          <w:highlight w:val="none"/>
        </w:rPr>
        <w:br w:type="page" w:clear="all"/>
      </w:r>
      <w:r/>
    </w:p>
    <w:p>
      <w:pPr>
        <w:jc w:val="left"/>
        <w:keepLines/>
        <w:keepNext/>
        <w:spacing w:before="120" w:line="300" w:lineRule="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pacing w:val="20"/>
          <w:sz w:val="24"/>
          <w:highlight w:val="none"/>
        </w:rPr>
        <w:t xml:space="preserve">二、商务技术文件格式</w:t>
      </w:r>
      <w:bookmarkStart w:id="822" w:name="_Toc480942349"/>
      <w:r/>
      <w:bookmarkStart w:id="823" w:name="_Toc195842921"/>
      <w:r/>
      <w:bookmarkStart w:id="824" w:name="_Toc150774761"/>
      <w:r/>
      <w:bookmarkStart w:id="825" w:name="_Toc127151556"/>
      <w:r/>
      <w:bookmarkStart w:id="826" w:name="_Ref467988698"/>
      <w:r/>
      <w:bookmarkStart w:id="827" w:name="_Toc226337252"/>
      <w:r/>
      <w:bookmarkStart w:id="828" w:name="_Toc226309800"/>
      <w:r/>
      <w:bookmarkStart w:id="829" w:name="_Toc520356217"/>
      <w:r/>
      <w:bookmarkStart w:id="830" w:name="_Toc226965746"/>
      <w:r/>
      <w:bookmarkStart w:id="831" w:name="_Toc150480794"/>
      <w:r/>
      <w:bookmarkStart w:id="832" w:name="_Toc142311058"/>
      <w:r/>
      <w:bookmarkStart w:id="833" w:name="_Toc226965829"/>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szCs w:val="20"/>
          <w:highlight w:val="none"/>
        </w:rPr>
        <w:t xml:space="preserve">  </w:t>
      </w:r>
      <w:r>
        <w:rPr>
          <w:rFonts w:hint="eastAsia" w:ascii="宋体" w:hAnsi="宋体" w:eastAsia="宋体" w:cs="宋体"/>
          <w:b/>
          <w:color w:val="000000"/>
          <w:sz w:val="24"/>
          <w:highlight w:val="none"/>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eastAsia="宋体" w:cs="宋体"/>
          <w:b/>
          <w:color w:val="000000"/>
          <w:sz w:val="24"/>
          <w:highlight w:val="none"/>
        </w:rPr>
        <w:t xml:space="preserve">函</w:t>
      </w:r>
      <w:r>
        <w:rPr>
          <w:rFonts w:hint="eastAsia" w:ascii="宋体" w:hAnsi="宋体" w:eastAsia="宋体" w:cs="宋体"/>
          <w:b/>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招标人</w:t>
      </w:r>
      <w:r>
        <w:rPr>
          <w:rFonts w:hint="eastAsia" w:ascii="宋体" w:hAnsi="宋体" w:eastAsia="宋体" w:cs="宋体"/>
          <w:color w:val="000000"/>
          <w:sz w:val="24"/>
          <w:highlight w:val="none"/>
          <w:u w:val="single"/>
        </w:rPr>
        <w:t xml:space="preserve">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b/>
          <w:color w:val="000000"/>
          <w:sz w:val="24"/>
          <w:highlight w:val="none"/>
        </w:rPr>
      </w:pPr>
      <w:r/>
      <w:bookmarkStart w:id="834" w:name="_Hlt520356243"/>
      <w:r/>
      <w:bookmarkEnd w:id="834"/>
      <w:r/>
      <w:bookmarkStart w:id="835" w:name="_Hlt520355938"/>
      <w:r/>
      <w:bookmarkEnd w:id="835"/>
      <w:r>
        <w:rPr>
          <w:rFonts w:hint="eastAsia" w:ascii="宋体" w:hAnsi="宋体" w:eastAsia="宋体" w:cs="宋体"/>
          <w:color w:val="000000"/>
          <w:sz w:val="24"/>
          <w:highlight w:val="none"/>
        </w:rPr>
        <w:br w:type="page" w:clear="all"/>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2  法定代表人资格证明书（实质性格式）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0"/>
        <w:ind w:right="-46"/>
        <w:spacing w:line="583" w:lineRule="auto"/>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7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投标人：（加盖公章）</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w:t>
      </w:r>
      <w:r>
        <w:rPr>
          <w:rFonts w:hint="eastAsia" w:ascii="宋体" w:hAnsi="宋体" w:eastAsia="宋体" w:cs="宋体"/>
          <w:color w:val="000000"/>
          <w:sz w:val="24"/>
          <w:szCs w:val="20"/>
          <w:highlight w:val="none"/>
          <w:lang w:eastAsia="zh-CN"/>
        </w:rPr>
        <w:t xml:space="preserve">投标人</w:t>
      </w:r>
      <w:r>
        <w:rPr>
          <w:rFonts w:hint="eastAsia" w:ascii="宋体" w:hAnsi="宋体" w:eastAsia="宋体" w:cs="宋体"/>
          <w:color w:val="000000"/>
          <w:sz w:val="24"/>
          <w:szCs w:val="20"/>
          <w:highlight w:val="none"/>
        </w:rPr>
        <w:t xml:space="preserve">为自然人的情形，可不提供本《法定代表人资格证明书》。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br w:type="page" w:clear="all"/>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  授权委托书（实质性格式）</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1"/>
        <w:jc w:val="center"/>
        <w:spacing w:line="480" w:lineRule="auto"/>
        <w:rPr>
          <w:rFonts w:hint="eastAsia" w:ascii="宋体" w:hAnsi="宋体" w:eastAsia="宋体" w:cs="宋体"/>
          <w:color w:val="000000"/>
          <w:sz w:val="24"/>
          <w:highlight w:val="none"/>
        </w:rPr>
      </w:pPr>
      <w:r>
        <w:rPr>
          <w:rFonts w:hint="eastAsia" w:ascii="宋体" w:hAnsi="宋体" w:eastAsia="宋体" w:cs="宋体"/>
          <w:b/>
          <w:color w:val="000000"/>
          <w:sz w:val="36"/>
          <w:szCs w:val="36"/>
          <w:highlight w:val="none"/>
        </w:rPr>
        <w:t xml:space="preserve">授权委托书</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本授权书于__________年_______月________日签字或盖章生效，特此声明。</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投标人公章：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、签章或印鉴</w:t>
      </w:r>
      <w:r>
        <w:rPr>
          <w:rFonts w:hint="eastAsia" w:ascii="宋体" w:hAnsi="宋体" w:eastAsia="宋体" w:cs="宋体"/>
          <w:color w:val="000000"/>
          <w:sz w:val="24"/>
          <w:highlight w:val="none"/>
        </w:rPr>
        <w:t xml:space="preserve">：                     联系电话：</w:t>
      </w:r>
      <w:r/>
    </w:p>
    <w:p>
      <w:pPr>
        <w:pStyle w:val="116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0"/>
        <w:ind w:right="-46"/>
        <w:spacing w:line="583" w:lineRule="auto"/>
        <w:rPr>
          <w:rFonts w:hint="eastAsia" w:ascii="宋体" w:hAnsi="宋体" w:eastAsia="宋体" w:cs="宋体"/>
          <w:b/>
          <w:bCs/>
          <w:color w:val="000000"/>
          <w:spacing w:val="-3"/>
          <w:highlight w:val="none"/>
        </w:rPr>
      </w:pPr>
      <w:r>
        <w:rPr>
          <w:rFonts w:hint="eastAsia" w:ascii="宋体" w:hAnsi="宋体" w:eastAsia="宋体" w:cs="宋体"/>
          <w:b/>
          <w:bCs/>
          <w:color w:val="000000"/>
          <w:highlight w:val="none"/>
        </w:rPr>
        <w:t xml:space="preserve">附：委托代理人（被授权人）</w:t>
      </w:r>
      <w:r>
        <w:rPr>
          <w:rFonts w:hint="eastAsia" w:ascii="宋体" w:hAnsi="宋体" w:eastAsia="宋体" w:cs="宋体"/>
          <w:b/>
          <w:bCs/>
          <w:color w:val="000000"/>
          <w:spacing w:val="-3"/>
          <w:highlight w:val="none"/>
        </w:rPr>
        <w:t xml:space="preserve">有效期内的身份证正反面。</w:t>
      </w:r>
      <w:r/>
    </w:p>
    <w:tbl>
      <w:tblPr>
        <w:tblStyle w:val="7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20"/>
        <w:ind w:right="-46"/>
        <w:spacing w:line="583"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投标人近三个月内任意一个月（自开标之日往前推）为其缴纳社保的记录</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1.法定代表人参加投标时，不需要提供本授权委托书，需投标本人身份证。</w:t>
      </w:r>
      <w:r/>
    </w:p>
    <w:p>
      <w:pPr>
        <w:pStyle w:val="124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4  政府采购</w:t>
      </w:r>
      <w:r>
        <w:rPr>
          <w:rFonts w:hint="eastAsia" w:ascii="宋体" w:hAnsi="宋体" w:cs="宋体"/>
          <w:b/>
          <w:color w:val="000000"/>
          <w:sz w:val="24"/>
          <w:highlight w:val="none"/>
          <w:lang w:val="en-US" w:eastAsia="zh-CN"/>
        </w:rPr>
        <w:t xml:space="preserve">供应商</w:t>
      </w:r>
      <w:r>
        <w:rPr>
          <w:rFonts w:hint="eastAsia" w:ascii="宋体" w:hAnsi="宋体" w:eastAsia="宋体" w:cs="宋体"/>
          <w:b/>
          <w:color w:val="000000"/>
          <w:sz w:val="24"/>
          <w:highlight w:val="none"/>
        </w:rPr>
        <w:t xml:space="preserve">信用承诺书（实质性格式）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w:t>
      </w:r>
      <w:r>
        <w:rPr>
          <w:rFonts w:hint="eastAsia" w:ascii="宋体" w:hAnsi="宋体" w:cs="宋体"/>
          <w:b/>
          <w:color w:val="000000"/>
          <w:sz w:val="32"/>
          <w:szCs w:val="32"/>
          <w:highlight w:val="none"/>
          <w:lang w:val="en-US" w:eastAsia="zh-CN"/>
        </w:rPr>
        <w:t xml:space="preserve">供应商</w:t>
      </w:r>
      <w:r>
        <w:rPr>
          <w:rFonts w:hint="eastAsia" w:ascii="宋体" w:hAnsi="宋体" w:eastAsia="宋体" w:cs="宋体"/>
          <w:b/>
          <w:color w:val="000000"/>
          <w:sz w:val="32"/>
          <w:szCs w:val="32"/>
          <w:highlight w:val="none"/>
        </w:rPr>
        <w:t xml:space="preserve">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信用管理暂行办法》，自愿按照《常州市政府采购</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236"/>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bookmarkStart w:id="836" w:name="_Hlt520274407"/>
      <w:r/>
      <w:bookmarkEnd w:id="836"/>
      <w:r/>
      <w:bookmarkStart w:id="837" w:name="_Hlt520274065"/>
      <w:r/>
      <w:bookmarkEnd w:id="837"/>
      <w:r/>
      <w:bookmarkStart w:id="838" w:name="_Hlt520271212"/>
      <w:r/>
      <w:bookmarkEnd w:id="838"/>
      <w:r/>
      <w:bookmarkStart w:id="839" w:name="_Hlt520274121"/>
      <w:r/>
      <w:bookmarkEnd w:id="839"/>
      <w:r/>
      <w:bookmarkStart w:id="840" w:name="_Hlt520343000"/>
      <w:r/>
      <w:bookmarkEnd w:id="840"/>
      <w:r/>
      <w:bookmarkStart w:id="841" w:name="_Hlt520355504"/>
      <w:r/>
      <w:bookmarkEnd w:id="841"/>
      <w:r/>
      <w:bookmarkStart w:id="842" w:name="_Hlt520343392"/>
      <w:r/>
      <w:bookmarkEnd w:id="842"/>
      <w:r/>
      <w:bookmarkStart w:id="843" w:name="_Hlt520274393"/>
      <w:r/>
      <w:bookmarkEnd w:id="843"/>
      <w:r/>
      <w:bookmarkStart w:id="844" w:name="_Hlt520350918"/>
      <w:r/>
      <w:bookmarkEnd w:id="844"/>
      <w:r/>
      <w:bookmarkStart w:id="845" w:name="_Hlt520273711"/>
      <w:r/>
      <w:bookmarkEnd w:id="845"/>
      <w:r/>
      <w:bookmarkStart w:id="846" w:name="_Toc226309801"/>
      <w:r/>
      <w:bookmarkStart w:id="847" w:name="_Toc142311059"/>
      <w:r/>
      <w:bookmarkStart w:id="848" w:name="_Toc264969247"/>
      <w:r/>
      <w:bookmarkStart w:id="849" w:name="_Toc226965747"/>
      <w:r/>
      <w:bookmarkStart w:id="850" w:name="_Toc195842922"/>
      <w:r/>
      <w:bookmarkStart w:id="851" w:name="_Toc226965830"/>
      <w:r/>
      <w:bookmarkStart w:id="852" w:name="_Toc480942350"/>
      <w:r/>
      <w:bookmarkStart w:id="853" w:name="_Toc305158825"/>
      <w:r/>
      <w:bookmarkStart w:id="854" w:name="_Toc150480795"/>
      <w:r/>
      <w:bookmarkStart w:id="855" w:name="_Toc520356218"/>
      <w:r/>
      <w:bookmarkStart w:id="856" w:name="_Toc305158899"/>
      <w:r/>
      <w:bookmarkStart w:id="857" w:name="_Ref467988705"/>
      <w:r/>
      <w:bookmarkStart w:id="858" w:name="_Toc127151557"/>
      <w:r/>
      <w:bookmarkStart w:id="859" w:name="_Toc150774762"/>
      <w:r/>
      <w:bookmarkStart w:id="860" w:name="_Toc226337253"/>
      <w:r/>
      <w:bookmarkStart w:id="861" w:name="_Toc265228395"/>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24"/>
          <w:highlight w:val="none"/>
        </w:rPr>
        <w:t xml:space="preserve">5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hint="eastAsia" w:ascii="宋体" w:hAnsi="宋体" w:eastAsia="宋体" w:cs="宋体"/>
          <w:b/>
          <w:color w:val="000000"/>
          <w:sz w:val="24"/>
          <w:highlight w:val="none"/>
        </w:rPr>
        <w:t xml:space="preserve">（实质性格式）</w:t>
      </w:r>
      <w:r/>
    </w:p>
    <w:p>
      <w:pPr>
        <w:jc w:val="center"/>
        <w:spacing w:line="360" w:lineRule="exact"/>
        <w:rPr>
          <w:rFonts w:hint="eastAsia" w:ascii="宋体" w:hAnsi="宋体" w:eastAsia="宋体" w:cs="宋体"/>
          <w:b/>
          <w:color w:val="000000"/>
          <w:sz w:val="36"/>
          <w:szCs w:val="36"/>
          <w:highlight w:val="none"/>
        </w:rPr>
      </w:pPr>
      <w:r/>
      <w:bookmarkStart w:id="862" w:name="_Toc226965748"/>
      <w:r/>
      <w:bookmarkStart w:id="863" w:name="_Toc264969248"/>
      <w:r/>
      <w:bookmarkStart w:id="864" w:name="_Toc226965831"/>
      <w:r/>
      <w:bookmarkStart w:id="865" w:name="_Toc305158900"/>
      <w:r/>
      <w:bookmarkStart w:id="866" w:name="_Toc164608672"/>
      <w:r/>
      <w:bookmarkStart w:id="867" w:name="_Toc265228396"/>
      <w:r/>
      <w:bookmarkStart w:id="868" w:name="_Toc226337254"/>
      <w:r/>
      <w:bookmarkStart w:id="869" w:name="_Toc226309802"/>
      <w:r/>
      <w:bookmarkStart w:id="870" w:name="_Toc164608827"/>
      <w:r/>
      <w:bookmarkStart w:id="871" w:name="_Toc195842923"/>
      <w:r/>
      <w:bookmarkStart w:id="872" w:name="_Toc305158826"/>
      <w:r>
        <w:rPr>
          <w:rFonts w:hint="eastAsia" w:ascii="宋体" w:hAnsi="宋体" w:eastAsia="宋体" w:cs="宋体"/>
          <w:b/>
          <w:color w:val="000000"/>
          <w:sz w:val="36"/>
          <w:szCs w:val="36"/>
          <w:highlight w:val="none"/>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
    </w:p>
    <w:p>
      <w:pPr>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777"/>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37"/>
        <w:gridCol w:w="2889"/>
        <w:gridCol w:w="1549"/>
        <w:gridCol w:w="4019"/>
      </w:tblGrid>
      <w:tr>
        <w:trPr>
          <w:cantSplit/>
          <w:jc w:val="center"/>
          <w:trHeight w:val="531"/>
        </w:trPr>
        <w:tc>
          <w:tcPr>
            <w:tcW w:w="412" w:type="dxa"/>
            <w:vAlign w:val="center"/>
            <w:vMerge w:val="restart"/>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p>
        </w:tc>
        <w:tc>
          <w:tcPr>
            <w:gridSpan w:val="2"/>
            <w:tcW w:w="4269"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w:t>
            </w:r>
            <w:r/>
          </w:p>
        </w:tc>
      </w:tr>
      <w:tr>
        <w:trPr>
          <w:cantSplit/>
          <w:jc w:val="center"/>
          <w:trHeight w:val="674"/>
        </w:trPr>
        <w:tc>
          <w:tcPr>
            <w:tcW w:w="412" w:type="dxa"/>
            <w:vAlign w:val="center"/>
            <w:vMerge w:val="continue"/>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15" w:type="dxa"/>
            <w:vAlign w:val="center"/>
            <w:vMerge w:val="continue"/>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8"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p>
        </w:tc>
        <w:tc>
          <w:tcPr>
            <w:tcW w:w="1182" w:type="dxa"/>
            <w:vAlign w:val="center"/>
            <w:textDirection w:val="lrTb"/>
            <w:noWrap w:val="false"/>
          </w:tcPr>
          <w:p>
            <w:pPr>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15"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8"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tc>
        <w:tc>
          <w:tcPr>
            <w:tcW w:w="1182" w:type="dxa"/>
            <w:vAlign w:val="center"/>
            <w:textDirection w:val="lrTb"/>
            <w:noWrap w:val="false"/>
          </w:tcPr>
          <w:p>
            <w:pPr>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bookmarkStart w:id="873" w:name="_Toc305158827"/>
      <w:r/>
      <w:bookmarkStart w:id="874" w:name="_Toc150480796"/>
      <w:r/>
      <w:bookmarkStart w:id="875" w:name="_Toc226965832"/>
      <w:r/>
      <w:bookmarkStart w:id="876" w:name="_Toc127151558"/>
      <w:r/>
      <w:bookmarkStart w:id="877" w:name="_Toc265228397"/>
      <w:r/>
      <w:bookmarkStart w:id="878" w:name="_Toc264969249"/>
      <w:r/>
      <w:bookmarkStart w:id="879" w:name="_Toc226337255"/>
      <w:r/>
      <w:bookmarkStart w:id="880" w:name="_Toc305158901"/>
      <w:r/>
      <w:bookmarkStart w:id="881" w:name="_Toc226309803"/>
      <w:r/>
      <w:bookmarkStart w:id="882" w:name="_Toc195842924"/>
      <w:r/>
      <w:bookmarkStart w:id="883" w:name="_Toc226965749"/>
      <w:r/>
      <w:bookmarkStart w:id="884" w:name="_Toc142311060"/>
      <w:r/>
      <w:bookmarkStart w:id="885" w:name="_Toc150774763"/>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24"/>
          <w:highlight w:val="none"/>
        </w:rPr>
        <w:t xml:space="preserve">6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ascii="宋体" w:hAnsi="宋体" w:eastAsia="宋体" w:cs="宋体"/>
          <w:b/>
          <w:color w:val="000000"/>
          <w:sz w:val="24"/>
          <w:highlight w:val="none"/>
        </w:rPr>
        <w:t xml:space="preserve">（实质性格式）</w:t>
      </w:r>
      <w:r/>
    </w:p>
    <w:p>
      <w:pPr>
        <w:jc w:val="center"/>
        <w:spacing w:line="3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投标分项报价表</w:t>
      </w:r>
      <w:r/>
    </w:p>
    <w:p>
      <w:pPr>
        <w:jc w:val="center"/>
        <w:spacing w:line="2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 项目名称：__________报价单位：人民币元</w:t>
      </w:r>
      <w:r/>
    </w:p>
    <w:tbl>
      <w:tblPr>
        <w:tblStyle w:val="777"/>
        <w:tblpPr w:horzAnchor="page" w:tblpX="2097" w:vertAnchor="text" w:tblpY="442" w:leftFromText="180" w:topFromText="0" w:rightFromText="180" w:bottomFromText="0"/>
        <w:tblW w:w="85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175"/>
        <w:gridCol w:w="882"/>
        <w:gridCol w:w="744"/>
        <w:gridCol w:w="614"/>
        <w:gridCol w:w="571"/>
        <w:gridCol w:w="1511"/>
        <w:gridCol w:w="990"/>
        <w:gridCol w:w="1415"/>
      </w:tblGrid>
      <w:tr>
        <w:trPr>
          <w:cantSplit/>
          <w:trHeight w:val="1834"/>
        </w:trPr>
        <w:tc>
          <w:tcPr>
            <w:tcW w:w="674" w:type="dxa"/>
            <w:vAlign w:val="center"/>
            <w:textDirection w:val="lrTb"/>
            <w:noWrap w:val="false"/>
          </w:tcPr>
          <w:p>
            <w:pPr>
              <w:ind w:right="867"/>
              <w:spacing w:line="360" w:lineRule="auto"/>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7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882"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p>
        </w:tc>
        <w:tc>
          <w:tcPr>
            <w:tcW w:w="744"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1511" w:type="dxa"/>
            <w:vAlign w:val="center"/>
            <w:textDirection w:val="lrTb"/>
            <w:noWrap w:val="false"/>
          </w:tcPr>
          <w:p>
            <w:pPr>
              <w:ind w:left="708" w:hanging="70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金额（元）</w:t>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cantSplit/>
          <w:trHeight w:val="466"/>
        </w:trPr>
        <w:tc>
          <w:tcPr>
            <w:tcW w:w="67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2"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6"/>
        </w:trPr>
        <w:tc>
          <w:tcPr>
            <w:tcW w:w="67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6"/>
        </w:trPr>
        <w:tc>
          <w:tcPr>
            <w:tcW w:w="67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6"/>
        </w:trPr>
        <w:tc>
          <w:tcPr>
            <w:tcW w:w="67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6"/>
        </w:trPr>
        <w:tc>
          <w:tcPr>
            <w:tcW w:w="67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8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6"/>
        </w:trPr>
        <w:tc>
          <w:tcPr>
            <w:tcW w:w="67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75"/>
        </w:trPr>
        <w:tc>
          <w:tcPr>
            <w:gridSpan w:val="9"/>
            <w:tcW w:w="85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合计金额大写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注：1.如果不提供分项报价将视为没有实质性响应招标文件。</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2.本表行数可以按照项目分项情况增加。</w:t>
      </w:r>
      <w:r/>
    </w:p>
    <w:p>
      <w:pPr>
        <w:ind w:firstLine="480"/>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3.上述各项的详细规格、技术参数如表格中填写不下的，可以逐项另页描述。</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spacing w:before="240" w:after="240"/>
        <w:rPr>
          <w:rFonts w:hint="eastAsia" w:ascii="宋体" w:hAnsi="宋体" w:eastAsia="宋体" w:cs="宋体"/>
          <w:b/>
          <w:i/>
          <w:color w:val="000000"/>
          <w:sz w:val="24"/>
          <w:highlight w:val="none"/>
        </w:rPr>
      </w:pPr>
      <w:r>
        <w:rPr>
          <w:rFonts w:hint="eastAsia" w:ascii="宋体" w:hAnsi="宋体" w:eastAsia="宋体" w:cs="宋体"/>
          <w:b/>
          <w:i/>
          <w:color w:val="000000"/>
          <w:sz w:val="24"/>
          <w:highlight w:val="none"/>
        </w:rPr>
      </w:r>
      <w:r/>
    </w:p>
    <w:p>
      <w:pPr>
        <w:jc w:val="left"/>
        <w:spacing w:before="240" w:after="240"/>
        <w:rPr>
          <w:rFonts w:hint="eastAsia" w:ascii="宋体" w:hAnsi="宋体" w:eastAsia="宋体" w:cs="宋体"/>
          <w:b/>
          <w:i/>
          <w:color w:val="000000"/>
          <w:sz w:val="24"/>
          <w:highlight w:val="none"/>
        </w:rPr>
      </w:pPr>
      <w:r>
        <w:rPr>
          <w:rFonts w:hint="eastAsia" w:ascii="宋体" w:hAnsi="宋体" w:eastAsia="宋体" w:cs="宋体"/>
          <w:b/>
          <w:i/>
          <w:color w:val="000000"/>
          <w:sz w:val="24"/>
          <w:highlight w:val="none"/>
        </w:rPr>
      </w:r>
      <w:r/>
    </w:p>
    <w:p>
      <w:pPr>
        <w:jc w:val="left"/>
        <w:spacing w:before="240" w:after="240"/>
        <w:rPr>
          <w:rFonts w:hint="eastAsia" w:ascii="宋体" w:hAnsi="宋体" w:eastAsia="宋体" w:cs="宋体"/>
          <w:b/>
          <w:i/>
          <w:color w:val="000000"/>
          <w:sz w:val="24"/>
          <w:highlight w:val="none"/>
        </w:rPr>
      </w:pPr>
      <w:r>
        <w:rPr>
          <w:rFonts w:hint="eastAsia" w:ascii="宋体" w:hAnsi="宋体" w:eastAsia="宋体" w:cs="宋体"/>
          <w:b/>
          <w:i/>
          <w:color w:val="000000"/>
          <w:sz w:val="24"/>
          <w:highlight w:val="none"/>
        </w:rPr>
      </w:r>
      <w:r/>
    </w:p>
    <w:p>
      <w:pPr>
        <w:jc w:val="left"/>
        <w:spacing w:before="240" w:after="240"/>
        <w:rPr>
          <w:rFonts w:hint="eastAsia" w:ascii="宋体" w:hAnsi="宋体" w:eastAsia="宋体" w:cs="宋体"/>
          <w:b/>
          <w:i/>
          <w:color w:val="000000"/>
          <w:sz w:val="24"/>
          <w:highlight w:val="none"/>
        </w:rPr>
      </w:pPr>
      <w:r>
        <w:rPr>
          <w:rFonts w:hint="eastAsia" w:ascii="宋体" w:hAnsi="宋体" w:eastAsia="宋体" w:cs="宋体"/>
          <w:b/>
          <w:i/>
          <w:color w:val="000000"/>
          <w:sz w:val="24"/>
          <w:highlight w:val="none"/>
        </w:rPr>
      </w:r>
      <w:r/>
    </w:p>
    <w:p>
      <w:pPr>
        <w:jc w:val="left"/>
        <w:spacing w:before="240" w:after="240"/>
        <w:rPr>
          <w:rFonts w:hint="eastAsia" w:ascii="宋体" w:hAnsi="宋体" w:eastAsia="宋体" w:cs="宋体"/>
          <w:color w:val="000000"/>
          <w:sz w:val="24"/>
          <w:highlight w:val="none"/>
          <w:lang w:val="zh-CN"/>
        </w:rPr>
      </w:pPr>
      <w:r/>
      <w:bookmarkStart w:id="886" w:name="_Toc150480798"/>
      <w:r/>
      <w:bookmarkStart w:id="887" w:name="_Toc150774765"/>
      <w:r/>
      <w:bookmarkStart w:id="888" w:name="_Toc226337258"/>
      <w:r/>
      <w:bookmarkStart w:id="889" w:name="_Toc226965835"/>
      <w:r/>
      <w:bookmarkStart w:id="890" w:name="_Toc265228400"/>
      <w:r/>
      <w:bookmarkStart w:id="891" w:name="_Toc264969252"/>
      <w:r/>
      <w:bookmarkStart w:id="892" w:name="_Toc305158830"/>
      <w:r/>
      <w:bookmarkStart w:id="893" w:name="_Toc305158904"/>
      <w:r/>
      <w:bookmarkStart w:id="894" w:name="_Toc195842927"/>
      <w:r/>
      <w:bookmarkStart w:id="895" w:name="_Toc142311062"/>
      <w:r/>
      <w:bookmarkStart w:id="896" w:name="_Toc127151562"/>
      <w:r/>
      <w:bookmarkStart w:id="897" w:name="_Toc226965752"/>
      <w:r/>
      <w:bookmarkStart w:id="898" w:name="_Toc226309806"/>
      <w:r/>
      <w:bookmarkStart w:id="899" w:name="_Toc264969251"/>
      <w:r/>
      <w:bookmarkStart w:id="900" w:name="_Toc127151561"/>
      <w:r/>
      <w:bookmarkStart w:id="901" w:name="_Toc150774764"/>
      <w:r/>
      <w:bookmarkStart w:id="902" w:name="_Toc305158903"/>
      <w:r/>
      <w:bookmarkStart w:id="903" w:name="_Toc226965834"/>
      <w:r/>
      <w:bookmarkStart w:id="904" w:name="_Toc226337257"/>
      <w:r/>
      <w:bookmarkStart w:id="905" w:name="_Toc226309805"/>
      <w:r/>
      <w:bookmarkStart w:id="906" w:name="_Toc265228399"/>
      <w:r/>
      <w:bookmarkStart w:id="907" w:name="_Toc226965751"/>
      <w:r/>
      <w:bookmarkStart w:id="908" w:name="_Toc142311061"/>
      <w:r/>
      <w:bookmarkStart w:id="909" w:name="_Toc150480797"/>
      <w:r/>
      <w:bookmarkStart w:id="910" w:name="_Toc195842926"/>
      <w:r/>
      <w:bookmarkStart w:id="911" w:name="_Toc305158829"/>
      <w:r>
        <w:rPr>
          <w:rFonts w:hint="eastAsia" w:ascii="宋体" w:hAnsi="宋体" w:eastAsia="宋体" w:cs="宋体"/>
          <w:color w:val="000000"/>
          <w:sz w:val="24"/>
          <w:szCs w:val="20"/>
          <w:highlight w:val="none"/>
        </w:rPr>
        <w:t xml:space="preserve"> </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24"/>
          <w:highlight w:val="none"/>
        </w:rPr>
        <w:t xml:space="preserve">7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hint="eastAsia" w:ascii="宋体" w:hAnsi="宋体" w:eastAsia="宋体" w:cs="宋体"/>
          <w:b/>
          <w:color w:val="000000"/>
          <w:sz w:val="24"/>
          <w:highlight w:val="none"/>
        </w:rPr>
        <w:t xml:space="preserve">（实质性格式）</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24"/>
          <w:szCs w:val="20"/>
          <w:highlight w:val="none"/>
        </w:rPr>
        <w:t xml:space="preserve">8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hint="eastAsia" w:ascii="宋体" w:hAnsi="宋体" w:eastAsia="宋体" w:cs="宋体"/>
          <w:b/>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777"/>
        <w:tblW w:w="10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354"/>
        <w:gridCol w:w="1695"/>
        <w:gridCol w:w="1395"/>
        <w:gridCol w:w="780"/>
        <w:gridCol w:w="2558"/>
      </w:tblGrid>
      <w:tr>
        <w:trPr>
          <w:jc w:val="center"/>
          <w:trHeight w:val="1053"/>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135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16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3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偏离情况</w:t>
            </w:r>
            <w:r/>
          </w:p>
        </w:tc>
        <w:tc>
          <w:tcPr>
            <w:tcW w:w="78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说明</w:t>
            </w:r>
            <w:r/>
          </w:p>
        </w:tc>
        <w:tc>
          <w:tcPr>
            <w:tcW w:w="25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b/>
                <w:bCs/>
                <w:color w:val="000000"/>
                <w:sz w:val="24"/>
                <w:highlight w:val="none"/>
                <w:lang w:val="zh-CN"/>
              </w:rPr>
              <w:t xml:space="preserve">根据</w:t>
            </w:r>
            <w:r>
              <w:rPr>
                <w:rFonts w:hint="eastAsia" w:ascii="宋体" w:hAnsi="宋体" w:eastAsia="宋体" w:cs="宋体"/>
                <w:b/>
                <w:bCs/>
                <w:color w:val="000000"/>
                <w:sz w:val="24"/>
                <w:highlight w:val="none"/>
              </w:rPr>
              <w:t xml:space="preserve">招标</w:t>
            </w:r>
            <w:r>
              <w:rPr>
                <w:rFonts w:hint="eastAsia" w:ascii="宋体" w:hAnsi="宋体" w:eastAsia="宋体" w:cs="宋体"/>
                <w:b/>
                <w:bCs/>
                <w:color w:val="000000"/>
                <w:sz w:val="24"/>
                <w:highlight w:val="none"/>
                <w:lang w:val="zh-CN"/>
              </w:rPr>
              <w:t xml:space="preserve">文件第五章采购需求要求在投标文件中提供相关证明材料对应位置或页码并醒目标出</w:t>
            </w:r>
            <w:r/>
          </w:p>
        </w:tc>
      </w:tr>
      <w:tr>
        <w:trPr>
          <w:jc w:val="center"/>
          <w:trHeight w:val="930"/>
        </w:trPr>
        <w:tc>
          <w:tcPr>
            <w:gridSpan w:val="7"/>
            <w:tcW w:w="1003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为了评审的需要，投标人应将技术要求中打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t xml:space="preserve">号内容逐条进行描述</w:t>
            </w:r>
            <w:r>
              <w:rPr>
                <w:rFonts w:hint="eastAsia" w:ascii="宋体" w:hAnsi="宋体" w:eastAsia="宋体" w:cs="宋体"/>
                <w:color w:val="000000"/>
                <w:sz w:val="24"/>
                <w:highlight w:val="none"/>
                <w:lang w:val="zh-CN"/>
              </w:rPr>
              <w:t xml:space="preserve">，根据招标文件采购需求中要求在投标文件中提供相关证明材料（如有要求的），并</w:t>
            </w:r>
            <w:r>
              <w:rPr>
                <w:rFonts w:hint="eastAsia" w:ascii="宋体" w:hAnsi="宋体" w:eastAsia="宋体" w:cs="宋体"/>
                <w:color w:val="000000"/>
                <w:sz w:val="24"/>
                <w:highlight w:val="none"/>
              </w:rPr>
              <w:t xml:space="preserve">根据要求的格式提出“正偏离或负偏离”，否则视同负偏离。</w:t>
            </w:r>
            <w:r/>
          </w:p>
        </w:tc>
      </w:tr>
      <w:tr>
        <w:trPr>
          <w:jc w:val="center"/>
          <w:trHeight w:val="565"/>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5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930"/>
        </w:trPr>
        <w:tc>
          <w:tcPr>
            <w:gridSpan w:val="7"/>
            <w:tcW w:w="1003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技术条款中非</w:t>
            </w:r>
            <w:r>
              <w:rPr>
                <w:rFonts w:hint="eastAsia" w:ascii="宋体" w:hAnsi="宋体" w:eastAsia="宋体" w:cs="宋体"/>
                <w:color w:val="000000"/>
                <w:sz w:val="24"/>
                <w:highlight w:val="none"/>
                <w:lang w:val="zh-CN"/>
              </w:rPr>
              <w:t xml:space="preserve">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rPr>
              <w:t xml:space="preserve">指标如有偏离，应在本表中详细列出，如无偏离，请在本部分写“完全响应其他指标（非</w:t>
            </w:r>
            <w:r>
              <w:rPr>
                <w:rFonts w:hint="eastAsia" w:ascii="宋体" w:hAnsi="宋体" w:eastAsia="宋体" w:cs="宋体"/>
                <w:color w:val="000000"/>
                <w:sz w:val="24"/>
                <w:highlight w:val="none"/>
                <w:lang w:val="zh-CN"/>
              </w:rPr>
              <w:t xml:space="preserve">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rPr>
              <w:t xml:space="preserve">）要求，无偏离”。</w:t>
            </w:r>
            <w:r/>
          </w:p>
        </w:tc>
      </w:tr>
      <w:tr>
        <w:trPr>
          <w:jc w:val="center"/>
          <w:trHeight w:val="597"/>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5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930"/>
        </w:trPr>
        <w:tc>
          <w:tcPr>
            <w:gridSpan w:val="7"/>
            <w:tcW w:w="1003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商务条款如无偏离，请在商务条款部分写“完全响应商务条款要求，无偏离”，并按格式要求盖章签字附在投标文件中 。</w:t>
            </w:r>
            <w:r/>
          </w:p>
        </w:tc>
      </w:tr>
      <w:tr>
        <w:trPr>
          <w:jc w:val="center"/>
          <w:trHeight w:val="595"/>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6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55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已对之理解和响应。此表中若无任何文字说明，内容为空白，</w:t>
      </w:r>
      <w:r>
        <w:rPr>
          <w:rFonts w:hint="eastAsia" w:ascii="宋体" w:hAnsi="宋体" w:eastAsia="宋体" w:cs="宋体"/>
          <w:b/>
          <w:color w:val="000000"/>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 </w:t>
      </w:r>
      <w:r>
        <w:rPr>
          <w:rFonts w:hint="eastAsia" w:ascii="宋体" w:hAnsi="宋体" w:eastAsia="宋体" w:cs="宋体"/>
          <w:b/>
          <w:color w:val="000000"/>
          <w:sz w:val="24"/>
          <w:highlight w:val="none"/>
        </w:rPr>
        <w:t xml:space="preserve"> 项目实施方案等，包括但不限于如下主题：</w:t>
      </w:r>
      <w:r/>
    </w:p>
    <w:p>
      <w:pPr>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详见评标标准</w:t>
      </w:r>
      <w:r/>
    </w:p>
    <w:p>
      <w:pPr>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cs="宋体"/>
          <w:b/>
          <w:color w:val="000000"/>
          <w:sz w:val="24"/>
          <w:highlight w:val="none"/>
          <w:lang w:val="en-US" w:eastAsia="zh-CN"/>
        </w:rPr>
        <w:t xml:space="preserve">10</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p>
    <w:p>
      <w:pPr>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77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p>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bl>
    <w:p>
      <w:pPr>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color w:val="000000"/>
          <w:sz w:val="22"/>
          <w:highlight w:val="none"/>
        </w:rPr>
        <w:br w:type="page" w:clear="all"/>
      </w:r>
      <w:bookmarkStart w:id="912" w:name="_Toc288738397"/>
      <w:r/>
      <w:bookmarkStart w:id="913" w:name="_Toc288738839"/>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912"/>
      <w:r/>
      <w:bookmarkEnd w:id="913"/>
      <w:r/>
      <w:r/>
    </w:p>
    <w:p>
      <w:pPr>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7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24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br w:type="page" w:clear="all"/>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招标文件要求提供或投标人认为应附的其他材料</w:t>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8"/>
          <w:szCs w:val="28"/>
          <w:highlight w:val="none"/>
        </w:rPr>
        <w:t xml:space="preserve">本招标文件的最终解释权归</w:t>
      </w:r>
      <w:r>
        <w:rPr>
          <w:rFonts w:hint="eastAsia" w:ascii="宋体" w:hAnsi="宋体" w:eastAsia="宋体" w:cs="宋体"/>
          <w:b/>
          <w:color w:val="000000"/>
          <w:sz w:val="28"/>
          <w:szCs w:val="28"/>
          <w:highlight w:val="none"/>
          <w:lang w:eastAsia="zh-CN"/>
        </w:rPr>
        <w:t xml:space="preserve">常州青果招投标有限公司</w:t>
      </w:r>
      <w:r>
        <w:rPr>
          <w:rFonts w:hint="eastAsia" w:ascii="宋体" w:hAnsi="宋体" w:eastAsia="宋体" w:cs="宋体"/>
          <w:b/>
          <w:color w:val="000000"/>
          <w:sz w:val="28"/>
          <w:szCs w:val="28"/>
          <w:highlight w:val="none"/>
        </w:rPr>
        <w:t xml:space="preserve">所有</w:t>
      </w:r>
      <w:r>
        <w:rPr>
          <w:rFonts w:hint="eastAsia" w:ascii="宋体" w:hAnsi="宋体" w:eastAsia="宋体" w:cs="宋体"/>
          <w:bCs/>
          <w:color w:val="000000"/>
          <w:sz w:val="24"/>
          <w:highlight w:val="none"/>
        </w:rPr>
        <w:t xml:space="preserve">。</w:t>
      </w:r>
      <w:r/>
    </w:p>
    <w:p>
      <w:pPr>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（全文完）</w:t>
      </w:r>
      <w:r/>
    </w:p>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1"/>
      </w:rPr>
      <w:framePr w:wrap="around" w:vAnchor="text" w:hAnchor="margin" w:xAlign="right" w:y="1"/>
    </w:pPr>
    <w:r>
      <w:rPr>
        <w:rStyle w:val="1061"/>
      </w:rPr>
      <w:fldChar w:fldCharType="begin"/>
    </w:r>
    <w:r>
      <w:rPr>
        <w:rStyle w:val="1061"/>
      </w:rPr>
      <w:instrText xml:space="preserve">PAGE  </w:instrText>
    </w:r>
    <w:r>
      <w:rPr>
        <w:rStyle w:val="1061"/>
      </w:rPr>
      <w:fldChar w:fldCharType="end"/>
    </w:r>
    <w:r/>
  </w:p>
  <w:p>
    <w:pPr>
      <w:pStyle w:val="103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1"/>
      </w:rPr>
      <w:framePr w:wrap="around" w:vAnchor="text" w:hAnchor="margin" w:xAlign="right" w:y="1"/>
    </w:pPr>
    <w:r>
      <w:rPr>
        <w:rStyle w:val="1061"/>
      </w:rPr>
      <w:fldChar w:fldCharType="begin"/>
    </w:r>
    <w:r>
      <w:rPr>
        <w:rStyle w:val="1061"/>
      </w:rPr>
      <w:instrText xml:space="preserve">PAGE  </w:instrText>
    </w:r>
    <w:r>
      <w:rPr>
        <w:rStyle w:val="1061"/>
      </w:rPr>
      <w:fldChar w:fldCharType="end"/>
    </w:r>
    <w:r/>
  </w:p>
  <w:p>
    <w:pPr>
      <w:pStyle w:val="1037"/>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left" w:pos="0" w:leader="none"/>
        </w:tabs>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09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tabs>
          <w:tab w:val="left" w:pos="0" w:leader="none"/>
        </w:tabs>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1"/>
      <w:numFmt w:val="decimal"/>
      <w:pStyle w:val="109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2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2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5"/>
      <w:isLgl w:val="false"/>
      <w:suff w:val="nothing"/>
      <w:lvlText w:val="%1.%2.%3.%4.%5.%6　"/>
      <w:lvlJc w:val="left"/>
      <w:pPr>
        <w:ind w:left="-25" w:firstLine="0"/>
      </w:pPr>
      <w:rPr>
        <w:rFonts w:ascii="Times New Roman" w:hAnsi="Times New Roman" w:eastAsia="宋体"/>
        <w:b/>
        <w:i w:val="0"/>
        <w:sz w:val="28"/>
      </w:rPr>
    </w:lvl>
    <w:lvl w:ilvl="6">
      <w:start w:val="1"/>
      <w:numFmt w:val="lowerLetter"/>
      <w:pStyle w:val="114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1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tabs>
          <w:tab w:val="left" w:pos="0" w:leader="none"/>
        </w:tabs>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197"/>
      <w:isLgl w:val="false"/>
      <w:suff w:val="tab"/>
      <w:lvlText w:val="%1"/>
      <w:lvlJc w:val="left"/>
      <w:pPr>
        <w:ind w:left="680" w:hanging="680"/>
      </w:pPr>
      <w:rPr>
        <w:rFonts w:hint="eastAsia" w:ascii="宋体" w:hAnsi="宋体" w:eastAsia="宋体"/>
      </w:rPr>
    </w:lvl>
    <w:lvl w:ilvl="1">
      <w:start w:val="1"/>
      <w:numFmt w:val="decimal"/>
      <w:pStyle w:val="1198"/>
      <w:isLgl w:val="false"/>
      <w:suff w:val="tab"/>
      <w:lvlText w:val="%1.%2"/>
      <w:lvlJc w:val="left"/>
      <w:pPr>
        <w:ind w:left="851" w:hanging="851"/>
      </w:pPr>
      <w:rPr>
        <w:rFonts w:hint="eastAsia" w:ascii="宋体" w:hAnsi="宋体" w:eastAsia="宋体"/>
        <w:color w:val="000000"/>
      </w:rPr>
    </w:lvl>
    <w:lvl w:ilvl="2">
      <w:start w:val="1"/>
      <w:numFmt w:val="decimal"/>
      <w:pStyle w:val="11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nothing"/>
      <w:lvlText w:val="（%1）"/>
      <w:lvlJc w:val="left"/>
      <w:pPr>
        <w:tabs>
          <w:tab w:val="left" w:pos="0" w:leader="none"/>
        </w:tabs>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6">
    <w:multiLevelType w:val="hybridMultilevel"/>
    <w:lvl w:ilvl="0">
      <w:start w:val="1"/>
      <w:numFmt w:val="decimal"/>
      <w:pStyle w:val="10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rPr>
        <w:rFonts w:hint="default"/>
        <w:b/>
        <w:bCs/>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6"/>
  </w:num>
  <w:num w:numId="3">
    <w:abstractNumId w:val="16"/>
  </w:num>
  <w:num w:numId="4">
    <w:abstractNumId w:val="4"/>
  </w:num>
  <w:num w:numId="5">
    <w:abstractNumId w:val="3"/>
  </w:num>
  <w:num w:numId="6">
    <w:abstractNumId w:val="10"/>
  </w:num>
  <w:num w:numId="7">
    <w:abstractNumId w:val="13"/>
  </w:num>
  <w:num w:numId="8">
    <w:abstractNumId w:val="20"/>
  </w:num>
  <w:num w:numId="9">
    <w:abstractNumId w:val="9"/>
  </w:num>
  <w:num w:numId="10">
    <w:abstractNumId w:val="1"/>
  </w:num>
  <w:num w:numId="11">
    <w:abstractNumId w:val="14"/>
  </w:num>
  <w:num w:numId="12">
    <w:abstractNumId w:val="17"/>
  </w:num>
  <w:num w:numId="13">
    <w:abstractNumId w:val="5"/>
  </w:num>
  <w:num w:numId="14">
    <w:abstractNumId w:val="7"/>
  </w:num>
  <w:num w:numId="15">
    <w:abstractNumId w:val="2"/>
  </w:num>
  <w:num w:numId="16">
    <w:abstractNumId w:val="18"/>
  </w:num>
  <w:num w:numId="17">
    <w:abstractNumId w:val="11"/>
  </w:num>
  <w:num w:numId="18">
    <w:abstractNumId w:val="15"/>
  </w:num>
  <w:num w:numId="19">
    <w:abstractNumId w:val="0"/>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2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Normal Indent"/>
    <w:basedOn w:val="766"/>
    <w:uiPriority w:val="99"/>
    <w:semiHidden/>
    <w:unhideWhenUsed/>
    <w:qFormat/>
    <w:pPr>
      <w:ind w:firstLine="420"/>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annotation text"/>
    <w:basedOn w:val="766"/>
    <w:uiPriority w:val="99"/>
    <w:semiHidden/>
    <w:unhideWhenUsed/>
    <w:qFormat/>
    <w:pPr>
      <w:jc w:val="left"/>
    </w:pPr>
  </w:style>
  <w:style w:type="paragraph" w:styleId="782">
    <w:name w:val="Body Text"/>
    <w:basedOn w:val="766"/>
    <w:uiPriority w:val="0"/>
    <w:qFormat/>
    <w:pPr>
      <w:spacing w:before="120" w:line="22" w:lineRule="atLeast"/>
      <w:tabs>
        <w:tab w:val="left" w:pos="567" w:leader="none"/>
      </w:tabs>
    </w:pPr>
    <w:rPr>
      <w:rFonts w:ascii="宋体" w:hAnsi="宋体"/>
      <w:sz w:val="24"/>
      <w:szCs w:val="20"/>
    </w:rPr>
  </w:style>
  <w:style w:type="paragraph" w:styleId="783">
    <w:name w:val="toc 5"/>
    <w:basedOn w:val="766"/>
    <w:next w:val="766"/>
    <w:uiPriority w:val="39"/>
    <w:unhideWhenUsed/>
    <w:qFormat/>
    <w:pPr>
      <w:ind w:left="1134" w:right="0" w:firstLine="0"/>
      <w:spacing w:after="57"/>
    </w:pPr>
  </w:style>
  <w:style w:type="paragraph" w:styleId="784">
    <w:name w:val="toc 3"/>
    <w:basedOn w:val="766"/>
    <w:next w:val="766"/>
    <w:uiPriority w:val="39"/>
    <w:unhideWhenUsed/>
    <w:qFormat/>
    <w:pPr>
      <w:ind w:left="567" w:right="0" w:firstLine="0"/>
      <w:spacing w:after="57"/>
    </w:pPr>
  </w:style>
  <w:style w:type="paragraph" w:styleId="785">
    <w:name w:val="Plain Text"/>
    <w:basedOn w:val="766"/>
    <w:next w:val="779"/>
    <w:uiPriority w:val="99"/>
    <w:unhideWhenUsed/>
    <w:qFormat/>
    <w:rPr>
      <w:rFonts w:ascii="宋体" w:hAnsi="Courier New"/>
    </w:rPr>
  </w:style>
  <w:style w:type="paragraph" w:styleId="786">
    <w:name w:val="toc 8"/>
    <w:basedOn w:val="766"/>
    <w:next w:val="766"/>
    <w:uiPriority w:val="39"/>
    <w:unhideWhenUsed/>
    <w:qFormat/>
    <w:pPr>
      <w:ind w:left="1984" w:right="0" w:firstLine="0"/>
      <w:spacing w:after="57"/>
    </w:pPr>
  </w:style>
  <w:style w:type="paragraph" w:styleId="787">
    <w:name w:val="endnote text"/>
    <w:basedOn w:val="766"/>
    <w:uiPriority w:val="99"/>
    <w:semiHidden/>
    <w:unhideWhenUsed/>
    <w:qFormat/>
    <w:pPr>
      <w:spacing w:after="0" w:line="240" w:lineRule="auto"/>
    </w:pPr>
    <w:rPr>
      <w:sz w:val="20"/>
    </w:rPr>
  </w:style>
  <w:style w:type="paragraph" w:styleId="788">
    <w:name w:val="Footer"/>
    <w:basedOn w:val="766"/>
    <w:uiPriority w:val="99"/>
    <w:unhideWhenUsed/>
    <w:qFormat/>
    <w:pPr>
      <w:spacing w:after="0" w:line="240" w:lineRule="auto"/>
      <w:tabs>
        <w:tab w:val="center" w:pos="7143" w:leader="none"/>
        <w:tab w:val="right" w:pos="14287" w:leader="none"/>
      </w:tabs>
    </w:pPr>
  </w:style>
  <w:style w:type="paragraph" w:styleId="789">
    <w:name w:val="Header"/>
    <w:basedOn w:val="766"/>
    <w:uiPriority w:val="99"/>
    <w:unhideWhenUsed/>
    <w:qFormat/>
    <w:pPr>
      <w:spacing w:after="0" w:line="240" w:lineRule="auto"/>
      <w:tabs>
        <w:tab w:val="center" w:pos="7143" w:leader="none"/>
        <w:tab w:val="right" w:pos="14287" w:leader="none"/>
      </w:tabs>
    </w:pPr>
  </w:style>
  <w:style w:type="paragraph" w:styleId="790">
    <w:name w:val="toc 1"/>
    <w:basedOn w:val="766"/>
    <w:next w:val="766"/>
    <w:uiPriority w:val="39"/>
    <w:unhideWhenUsed/>
    <w:qFormat/>
    <w:pPr>
      <w:ind w:left="0" w:right="0" w:firstLine="0"/>
      <w:spacing w:after="57"/>
    </w:pPr>
  </w:style>
  <w:style w:type="paragraph" w:styleId="791">
    <w:name w:val="toc 4"/>
    <w:basedOn w:val="766"/>
    <w:next w:val="766"/>
    <w:uiPriority w:val="39"/>
    <w:unhideWhenUsed/>
    <w:qFormat/>
    <w:pPr>
      <w:ind w:left="850" w:right="0" w:firstLine="0"/>
      <w:spacing w:after="57"/>
    </w:pPr>
  </w:style>
  <w:style w:type="paragraph" w:styleId="792">
    <w:name w:val="Subtitle"/>
    <w:basedOn w:val="766"/>
    <w:next w:val="766"/>
    <w:uiPriority w:val="11"/>
    <w:qFormat/>
    <w:pPr>
      <w:spacing w:before="200" w:after="200"/>
    </w:pPr>
    <w:rPr>
      <w:sz w:val="24"/>
      <w:szCs w:val="24"/>
    </w:rPr>
  </w:style>
  <w:style w:type="paragraph" w:styleId="793">
    <w:name w:val="footnote text"/>
    <w:basedOn w:val="766"/>
    <w:uiPriority w:val="99"/>
    <w:semiHidden/>
    <w:unhideWhenUsed/>
    <w:qFormat/>
    <w:pPr>
      <w:spacing w:after="40" w:line="240" w:lineRule="auto"/>
    </w:pPr>
    <w:rPr>
      <w:sz w:val="18"/>
    </w:rPr>
  </w:style>
  <w:style w:type="paragraph" w:styleId="794">
    <w:name w:val="toc 6"/>
    <w:basedOn w:val="766"/>
    <w:next w:val="766"/>
    <w:uiPriority w:val="39"/>
    <w:unhideWhenUsed/>
    <w:qFormat/>
    <w:pPr>
      <w:ind w:left="1417" w:right="0" w:firstLine="0"/>
      <w:spacing w:after="57"/>
    </w:pPr>
  </w:style>
  <w:style w:type="paragraph" w:styleId="795">
    <w:name w:val="table of figures"/>
    <w:basedOn w:val="766"/>
    <w:next w:val="766"/>
    <w:uiPriority w:val="99"/>
    <w:unhideWhenUsed/>
    <w:qFormat/>
    <w:pPr>
      <w:spacing w:after="0" w:afterAutospacing="0"/>
    </w:pPr>
  </w:style>
  <w:style w:type="paragraph" w:styleId="796">
    <w:name w:val="toc 2"/>
    <w:basedOn w:val="766"/>
    <w:next w:val="766"/>
    <w:uiPriority w:val="39"/>
    <w:unhideWhenUsed/>
    <w:qFormat/>
    <w:pPr>
      <w:ind w:left="283" w:right="0" w:firstLine="0"/>
      <w:spacing w:after="57"/>
    </w:pPr>
  </w:style>
  <w:style w:type="paragraph" w:styleId="797">
    <w:name w:val="toc 9"/>
    <w:basedOn w:val="766"/>
    <w:next w:val="766"/>
    <w:uiPriority w:val="39"/>
    <w:unhideWhenUsed/>
    <w:qFormat/>
    <w:pPr>
      <w:ind w:left="2268" w:right="0" w:firstLine="0"/>
      <w:spacing w:after="57"/>
    </w:pPr>
  </w:style>
  <w:style w:type="paragraph" w:styleId="798">
    <w:name w:val="Normal (Web)"/>
    <w:basedOn w:val="766"/>
    <w:uiPriority w:val="0"/>
    <w:qFormat/>
    <w:pPr>
      <w:spacing w:before="100" w:beforeAutospacing="1" w:after="100" w:afterAutospacing="1"/>
    </w:pPr>
    <w:rPr>
      <w:rFonts w:ascii="Arial Unicode MS" w:hAnsi="Arial Unicode MS" w:eastAsia="Arial Unicode MS" w:cs="Arial Unicode MS"/>
      <w:color w:val="000000"/>
      <w:sz w:val="24"/>
      <w:lang w:eastAsia="en-US"/>
    </w:rPr>
  </w:style>
  <w:style w:type="paragraph" w:styleId="799">
    <w:name w:val="Title"/>
    <w:basedOn w:val="766"/>
    <w:next w:val="766"/>
    <w:uiPriority w:val="10"/>
    <w:qFormat/>
    <w:pPr>
      <w:contextualSpacing/>
      <w:spacing w:before="300" w:after="200"/>
    </w:pPr>
    <w:rPr>
      <w:sz w:val="48"/>
      <w:szCs w:val="48"/>
    </w:rPr>
  </w:style>
  <w:style w:type="paragraph" w:styleId="800">
    <w:name w:val="Body Text First Indent 2"/>
    <w:basedOn w:val="766"/>
    <w:next w:val="766"/>
    <w:uiPriority w:val="0"/>
    <w:qFormat/>
    <w:pPr>
      <w:ind w:left="420" w:firstLine="420"/>
      <w:spacing w:after="120" w:line="480" w:lineRule="exact"/>
    </w:pPr>
    <w:rPr>
      <w:szCs w:val="20"/>
    </w:rPr>
  </w:style>
  <w:style w:type="table" w:styleId="8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标题 111"/>
    <w:basedOn w:val="766"/>
    <w:next w:val="766"/>
    <w:link w:val="816"/>
    <w:uiPriority w:val="9"/>
    <w:qFormat/>
    <w:pPr>
      <w:keepLines/>
      <w:keepNext/>
      <w:spacing w:before="480" w:after="200"/>
      <w:outlineLvl w:val="0"/>
    </w:pPr>
    <w:rPr>
      <w:rFonts w:ascii="Arial" w:hAnsi="Arial" w:eastAsia="Arial" w:cs="Arial"/>
      <w:sz w:val="40"/>
      <w:szCs w:val="40"/>
    </w:rPr>
  </w:style>
  <w:style w:type="paragraph" w:styleId="806" w:customStyle="1">
    <w:name w:val="标题 211"/>
    <w:basedOn w:val="766"/>
    <w:next w:val="766"/>
    <w:link w:val="817"/>
    <w:uiPriority w:val="9"/>
    <w:unhideWhenUsed/>
    <w:qFormat/>
    <w:pPr>
      <w:keepLines/>
      <w:keepNext/>
      <w:spacing w:before="360" w:after="200"/>
      <w:outlineLvl w:val="1"/>
    </w:pPr>
    <w:rPr>
      <w:rFonts w:ascii="Arial" w:hAnsi="Arial" w:eastAsia="Arial" w:cs="Arial"/>
      <w:sz w:val="34"/>
    </w:rPr>
  </w:style>
  <w:style w:type="paragraph" w:styleId="807" w:customStyle="1">
    <w:name w:val="标题 311"/>
    <w:basedOn w:val="766"/>
    <w:next w:val="766"/>
    <w:link w:val="818"/>
    <w:uiPriority w:val="9"/>
    <w:unhideWhenUsed/>
    <w:qFormat/>
    <w:pPr>
      <w:keepLines/>
      <w:keepNext/>
      <w:spacing w:before="320" w:after="200"/>
      <w:outlineLvl w:val="2"/>
    </w:pPr>
    <w:rPr>
      <w:rFonts w:ascii="Arial" w:hAnsi="Arial" w:eastAsia="Arial" w:cs="Arial"/>
      <w:sz w:val="30"/>
      <w:szCs w:val="30"/>
    </w:rPr>
  </w:style>
  <w:style w:type="paragraph" w:styleId="808" w:customStyle="1">
    <w:name w:val="标题 411"/>
    <w:basedOn w:val="766"/>
    <w:next w:val="766"/>
    <w:link w:val="819"/>
    <w:uiPriority w:val="9"/>
    <w:unhideWhenUsed/>
    <w:qFormat/>
    <w:pPr>
      <w:keepLines/>
      <w:keepNext/>
      <w:spacing w:before="320" w:after="200"/>
      <w:outlineLvl w:val="3"/>
    </w:pPr>
    <w:rPr>
      <w:rFonts w:ascii="Arial" w:hAnsi="Arial" w:eastAsia="Arial" w:cs="Arial"/>
      <w:b/>
      <w:bCs/>
      <w:sz w:val="26"/>
      <w:szCs w:val="26"/>
    </w:rPr>
  </w:style>
  <w:style w:type="paragraph" w:styleId="809" w:customStyle="1">
    <w:name w:val="标题 511"/>
    <w:basedOn w:val="766"/>
    <w:next w:val="766"/>
    <w:link w:val="820"/>
    <w:uiPriority w:val="9"/>
    <w:unhideWhenUsed/>
    <w:qFormat/>
    <w:pPr>
      <w:keepLines/>
      <w:keepNext/>
      <w:spacing w:before="320" w:after="200"/>
      <w:outlineLvl w:val="4"/>
    </w:pPr>
    <w:rPr>
      <w:rFonts w:ascii="Arial" w:hAnsi="Arial" w:eastAsia="Arial" w:cs="Arial"/>
      <w:b/>
      <w:bCs/>
      <w:sz w:val="24"/>
      <w:szCs w:val="24"/>
    </w:rPr>
  </w:style>
  <w:style w:type="paragraph" w:styleId="810" w:customStyle="1">
    <w:name w:val="标题 611"/>
    <w:basedOn w:val="766"/>
    <w:next w:val="766"/>
    <w:link w:val="821"/>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1"/>
    <w:basedOn w:val="766"/>
    <w:next w:val="76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1"/>
    <w:basedOn w:val="766"/>
    <w:next w:val="766"/>
    <w:link w:val="823"/>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1"/>
    <w:basedOn w:val="766"/>
    <w:next w:val="766"/>
    <w:link w:val="824"/>
    <w:uiPriority w:val="9"/>
    <w:unhideWhenUsed/>
    <w:qFormat/>
    <w:pPr>
      <w:keepLines/>
      <w:keepNext/>
      <w:spacing w:before="320" w:after="200"/>
      <w:outlineLvl w:val="8"/>
    </w:pPr>
    <w:rPr>
      <w:rFonts w:ascii="Arial" w:hAnsi="Arial" w:eastAsia="Arial" w:cs="Arial"/>
      <w:i/>
      <w:iCs/>
      <w:sz w:val="21"/>
      <w:szCs w:val="21"/>
    </w:rPr>
  </w:style>
  <w:style w:type="character" w:styleId="814" w:customStyle="1">
    <w:name w:val="默认段落字体11"/>
    <w:link w:val="766"/>
    <w:uiPriority w:val="1"/>
    <w:unhideWhenUsed/>
    <w:qFormat/>
  </w:style>
  <w:style w:type="table" w:styleId="815" w:customStyle="1">
    <w:name w:val="普通表格11"/>
    <w:uiPriority w:val="99"/>
    <w:unhideWhenUsed/>
    <w:qFormat/>
    <w:tblPr/>
  </w:style>
  <w:style w:type="character" w:styleId="816" w:customStyle="1">
    <w:name w:val="Heading 1 Char"/>
    <w:link w:val="805"/>
    <w:uiPriority w:val="9"/>
    <w:qFormat/>
    <w:rPr>
      <w:rFonts w:ascii="Arial" w:hAnsi="Arial" w:eastAsia="Arial" w:cs="Arial"/>
      <w:sz w:val="40"/>
      <w:szCs w:val="40"/>
    </w:rPr>
  </w:style>
  <w:style w:type="character" w:styleId="817" w:customStyle="1">
    <w:name w:val="Heading 2 Char"/>
    <w:link w:val="806"/>
    <w:uiPriority w:val="9"/>
    <w:qFormat/>
    <w:rPr>
      <w:rFonts w:ascii="Arial" w:hAnsi="Arial" w:eastAsia="Arial" w:cs="Arial"/>
      <w:sz w:val="34"/>
    </w:rPr>
  </w:style>
  <w:style w:type="character" w:styleId="818" w:customStyle="1">
    <w:name w:val="Heading 3 Char"/>
    <w:link w:val="807"/>
    <w:uiPriority w:val="9"/>
    <w:qFormat/>
    <w:rPr>
      <w:rFonts w:ascii="Arial" w:hAnsi="Arial" w:eastAsia="Arial" w:cs="Arial"/>
      <w:sz w:val="30"/>
      <w:szCs w:val="30"/>
    </w:rPr>
  </w:style>
  <w:style w:type="character" w:styleId="819" w:customStyle="1">
    <w:name w:val="Heading 4 Char"/>
    <w:link w:val="808"/>
    <w:uiPriority w:val="9"/>
    <w:qFormat/>
    <w:rPr>
      <w:rFonts w:ascii="Arial" w:hAnsi="Arial" w:eastAsia="Arial" w:cs="Arial"/>
      <w:b/>
      <w:bCs/>
      <w:sz w:val="26"/>
      <w:szCs w:val="26"/>
    </w:rPr>
  </w:style>
  <w:style w:type="character" w:styleId="820" w:customStyle="1">
    <w:name w:val="Heading 5 Char"/>
    <w:link w:val="809"/>
    <w:uiPriority w:val="9"/>
    <w:qFormat/>
    <w:rPr>
      <w:rFonts w:ascii="Arial" w:hAnsi="Arial" w:eastAsia="Arial" w:cs="Arial"/>
      <w:b/>
      <w:bCs/>
      <w:sz w:val="24"/>
      <w:szCs w:val="24"/>
    </w:rPr>
  </w:style>
  <w:style w:type="character" w:styleId="821" w:customStyle="1">
    <w:name w:val="Heading 6 Char"/>
    <w:link w:val="810"/>
    <w:uiPriority w:val="9"/>
    <w:qFormat/>
    <w:rPr>
      <w:rFonts w:ascii="Arial" w:hAnsi="Arial" w:eastAsia="Arial" w:cs="Arial"/>
      <w:b/>
      <w:bCs/>
      <w:sz w:val="22"/>
      <w:szCs w:val="22"/>
    </w:rPr>
  </w:style>
  <w:style w:type="character" w:styleId="822" w:customStyle="1">
    <w:name w:val="Heading 7 Char"/>
    <w:link w:val="811"/>
    <w:uiPriority w:val="9"/>
    <w:qFormat/>
    <w:rPr>
      <w:rFonts w:ascii="Arial" w:hAnsi="Arial" w:eastAsia="Arial" w:cs="Arial"/>
      <w:b/>
      <w:bCs/>
      <w:i/>
      <w:iCs/>
      <w:sz w:val="22"/>
      <w:szCs w:val="22"/>
    </w:rPr>
  </w:style>
  <w:style w:type="character" w:styleId="823" w:customStyle="1">
    <w:name w:val="Heading 8 Char"/>
    <w:link w:val="812"/>
    <w:uiPriority w:val="9"/>
    <w:qFormat/>
    <w:rPr>
      <w:rFonts w:ascii="Arial" w:hAnsi="Arial" w:eastAsia="Arial" w:cs="Arial"/>
      <w:i/>
      <w:iCs/>
      <w:sz w:val="22"/>
      <w:szCs w:val="22"/>
    </w:rPr>
  </w:style>
  <w:style w:type="character" w:styleId="824" w:customStyle="1">
    <w:name w:val="Heading 9 Char"/>
    <w:link w:val="813"/>
    <w:uiPriority w:val="9"/>
    <w:qFormat/>
    <w:rPr>
      <w:rFonts w:ascii="Arial" w:hAnsi="Arial" w:eastAsia="Arial" w:cs="Arial"/>
      <w:i/>
      <w:iCs/>
      <w:sz w:val="21"/>
      <w:szCs w:val="21"/>
    </w:rPr>
  </w:style>
  <w:style w:type="paragraph" w:styleId="825" w:customStyle="1">
    <w:name w:val="目录 711"/>
    <w:basedOn w:val="766"/>
    <w:next w:val="766"/>
    <w:uiPriority w:val="39"/>
    <w:unhideWhenUsed/>
    <w:qFormat/>
    <w:pPr>
      <w:ind w:left="1701" w:right="0" w:firstLine="0"/>
      <w:spacing w:after="57"/>
    </w:pPr>
  </w:style>
  <w:style w:type="paragraph" w:styleId="826" w:customStyle="1">
    <w:name w:val="正文缩进12"/>
    <w:basedOn w:val="766"/>
    <w:uiPriority w:val="0"/>
    <w:qFormat/>
    <w:pPr>
      <w:ind w:firstLine="420"/>
    </w:pPr>
    <w:rPr>
      <w:rFonts w:ascii="宋体"/>
      <w:sz w:val="24"/>
    </w:rPr>
  </w:style>
  <w:style w:type="paragraph" w:styleId="827" w:customStyle="1">
    <w:name w:val="题注11"/>
    <w:basedOn w:val="766"/>
    <w:next w:val="766"/>
    <w:uiPriority w:val="35"/>
    <w:unhideWhenUsed/>
    <w:qFormat/>
    <w:pPr>
      <w:spacing w:line="276" w:lineRule="auto"/>
    </w:pPr>
    <w:rPr>
      <w:b/>
      <w:bCs/>
      <w:color w:val="4f81bd"/>
      <w:sz w:val="18"/>
      <w:szCs w:val="18"/>
    </w:rPr>
  </w:style>
  <w:style w:type="paragraph" w:styleId="828" w:customStyle="1">
    <w:name w:val="批注文字11"/>
    <w:basedOn w:val="766"/>
    <w:uiPriority w:val="99"/>
    <w:unhideWhenUsed/>
    <w:qFormat/>
    <w:pPr>
      <w:jc w:val="left"/>
    </w:pPr>
  </w:style>
  <w:style w:type="paragraph" w:styleId="829" w:customStyle="1">
    <w:name w:val="正文文本11"/>
    <w:basedOn w:val="766"/>
    <w:uiPriority w:val="0"/>
    <w:unhideWhenUsed/>
    <w:qFormat/>
    <w:pPr>
      <w:spacing w:after="120"/>
    </w:pPr>
    <w:rPr>
      <w:rFonts w:eastAsia="宋体" w:cs="Times New Roman"/>
    </w:rPr>
  </w:style>
  <w:style w:type="paragraph" w:styleId="830" w:customStyle="1">
    <w:name w:val="目录 511"/>
    <w:basedOn w:val="766"/>
    <w:next w:val="766"/>
    <w:uiPriority w:val="39"/>
    <w:unhideWhenUsed/>
    <w:qFormat/>
    <w:pPr>
      <w:ind w:left="1134" w:right="0" w:firstLine="0"/>
      <w:spacing w:after="57"/>
    </w:pPr>
  </w:style>
  <w:style w:type="paragraph" w:styleId="831" w:customStyle="1">
    <w:name w:val="目录 311"/>
    <w:basedOn w:val="766"/>
    <w:next w:val="766"/>
    <w:uiPriority w:val="39"/>
    <w:unhideWhenUsed/>
    <w:qFormat/>
    <w:pPr>
      <w:ind w:left="567" w:right="0" w:firstLine="0"/>
      <w:spacing w:after="57"/>
    </w:pPr>
  </w:style>
  <w:style w:type="paragraph" w:styleId="832" w:customStyle="1">
    <w:name w:val="纯文本12"/>
    <w:basedOn w:val="766"/>
    <w:next w:val="826"/>
    <w:uiPriority w:val="99"/>
    <w:unhideWhenUsed/>
    <w:qFormat/>
    <w:rPr>
      <w:rFonts w:ascii="宋体" w:hAnsi="Courier New" w:eastAsia="宋体" w:cs="Times New Roman"/>
      <w:szCs w:val="22"/>
    </w:rPr>
  </w:style>
  <w:style w:type="paragraph" w:styleId="833" w:customStyle="1">
    <w:name w:val="目录 811"/>
    <w:basedOn w:val="766"/>
    <w:next w:val="766"/>
    <w:uiPriority w:val="39"/>
    <w:unhideWhenUsed/>
    <w:qFormat/>
    <w:pPr>
      <w:ind w:left="1984" w:right="0" w:firstLine="0"/>
      <w:spacing w:after="57"/>
    </w:pPr>
  </w:style>
  <w:style w:type="paragraph" w:styleId="834" w:customStyle="1">
    <w:name w:val="尾注文本1"/>
    <w:basedOn w:val="766"/>
    <w:link w:val="835"/>
    <w:uiPriority w:val="99"/>
    <w:unhideWhenUsed/>
    <w:qFormat/>
    <w:pPr>
      <w:spacing w:after="0" w:line="240" w:lineRule="auto"/>
    </w:pPr>
    <w:rPr>
      <w:sz w:val="20"/>
    </w:rPr>
  </w:style>
  <w:style w:type="character" w:styleId="835" w:customStyle="1">
    <w:name w:val="Endnote Text Char"/>
    <w:link w:val="834"/>
    <w:uiPriority w:val="99"/>
    <w:qFormat/>
    <w:rPr>
      <w:sz w:val="20"/>
    </w:rPr>
  </w:style>
  <w:style w:type="paragraph" w:styleId="836" w:customStyle="1">
    <w:name w:val="页脚11"/>
    <w:basedOn w:val="766"/>
    <w:link w:val="856"/>
    <w:uiPriority w:val="99"/>
    <w:unhideWhenUsed/>
    <w:qFormat/>
    <w:pPr>
      <w:spacing w:after="0" w:line="240" w:lineRule="auto"/>
      <w:tabs>
        <w:tab w:val="center" w:pos="7143" w:leader="none"/>
        <w:tab w:val="right" w:pos="14287" w:leader="none"/>
      </w:tabs>
    </w:pPr>
  </w:style>
  <w:style w:type="character" w:styleId="837" w:customStyle="1">
    <w:name w:val="Footer Char"/>
    <w:link w:val="836"/>
    <w:uiPriority w:val="99"/>
    <w:qFormat/>
  </w:style>
  <w:style w:type="paragraph" w:styleId="838" w:customStyle="1">
    <w:name w:val="页眉11"/>
    <w:basedOn w:val="766"/>
    <w:link w:val="839"/>
    <w:uiPriority w:val="99"/>
    <w:unhideWhenUsed/>
    <w:qFormat/>
    <w:pPr>
      <w:spacing w:after="0" w:line="240" w:lineRule="auto"/>
      <w:tabs>
        <w:tab w:val="center" w:pos="7143" w:leader="none"/>
        <w:tab w:val="right" w:pos="14287" w:leader="none"/>
      </w:tabs>
    </w:pPr>
  </w:style>
  <w:style w:type="character" w:styleId="839" w:customStyle="1">
    <w:name w:val="Header Char"/>
    <w:link w:val="838"/>
    <w:uiPriority w:val="99"/>
    <w:qFormat/>
  </w:style>
  <w:style w:type="paragraph" w:styleId="840" w:customStyle="1">
    <w:name w:val="目录 111"/>
    <w:basedOn w:val="766"/>
    <w:next w:val="766"/>
    <w:uiPriority w:val="39"/>
    <w:unhideWhenUsed/>
    <w:qFormat/>
    <w:pPr>
      <w:ind w:left="0" w:right="0" w:firstLine="0"/>
      <w:spacing w:after="57"/>
    </w:pPr>
  </w:style>
  <w:style w:type="paragraph" w:styleId="841" w:customStyle="1">
    <w:name w:val="目录 411"/>
    <w:basedOn w:val="766"/>
    <w:next w:val="766"/>
    <w:uiPriority w:val="39"/>
    <w:unhideWhenUsed/>
    <w:qFormat/>
    <w:pPr>
      <w:ind w:left="850" w:right="0" w:firstLine="0"/>
      <w:spacing w:after="57"/>
    </w:pPr>
  </w:style>
  <w:style w:type="paragraph" w:styleId="842" w:customStyle="1">
    <w:name w:val="副标题1"/>
    <w:basedOn w:val="766"/>
    <w:next w:val="766"/>
    <w:link w:val="843"/>
    <w:uiPriority w:val="11"/>
    <w:qFormat/>
    <w:pPr>
      <w:spacing w:before="200" w:after="200"/>
    </w:pPr>
    <w:rPr>
      <w:sz w:val="24"/>
      <w:szCs w:val="24"/>
    </w:rPr>
  </w:style>
  <w:style w:type="character" w:styleId="843" w:customStyle="1">
    <w:name w:val="Subtitle Char"/>
    <w:link w:val="842"/>
    <w:uiPriority w:val="11"/>
    <w:qFormat/>
    <w:rPr>
      <w:sz w:val="24"/>
      <w:szCs w:val="24"/>
    </w:rPr>
  </w:style>
  <w:style w:type="paragraph" w:styleId="844" w:customStyle="1">
    <w:name w:val="脚注文本1"/>
    <w:basedOn w:val="766"/>
    <w:link w:val="845"/>
    <w:uiPriority w:val="99"/>
    <w:unhideWhenUsed/>
    <w:qFormat/>
    <w:pPr>
      <w:spacing w:after="40" w:line="240" w:lineRule="auto"/>
    </w:pPr>
    <w:rPr>
      <w:sz w:val="18"/>
    </w:rPr>
  </w:style>
  <w:style w:type="character" w:styleId="845" w:customStyle="1">
    <w:name w:val="Footnote Text Char"/>
    <w:link w:val="844"/>
    <w:uiPriority w:val="99"/>
    <w:qFormat/>
    <w:rPr>
      <w:sz w:val="18"/>
    </w:rPr>
  </w:style>
  <w:style w:type="paragraph" w:styleId="846" w:customStyle="1">
    <w:name w:val="目录 611"/>
    <w:basedOn w:val="766"/>
    <w:next w:val="766"/>
    <w:uiPriority w:val="39"/>
    <w:unhideWhenUsed/>
    <w:qFormat/>
    <w:pPr>
      <w:ind w:left="1417" w:right="0" w:firstLine="0"/>
      <w:spacing w:after="57"/>
    </w:pPr>
  </w:style>
  <w:style w:type="paragraph" w:styleId="847" w:customStyle="1">
    <w:name w:val="图表目录1"/>
    <w:basedOn w:val="766"/>
    <w:next w:val="766"/>
    <w:uiPriority w:val="99"/>
    <w:unhideWhenUsed/>
    <w:qFormat/>
    <w:pPr>
      <w:spacing w:after="0" w:afterAutospacing="0"/>
    </w:pPr>
  </w:style>
  <w:style w:type="paragraph" w:styleId="848" w:customStyle="1">
    <w:name w:val="目录 211"/>
    <w:basedOn w:val="766"/>
    <w:next w:val="766"/>
    <w:uiPriority w:val="39"/>
    <w:unhideWhenUsed/>
    <w:qFormat/>
    <w:pPr>
      <w:ind w:left="283" w:right="0" w:firstLine="0"/>
      <w:spacing w:after="57"/>
    </w:pPr>
  </w:style>
  <w:style w:type="paragraph" w:styleId="849" w:customStyle="1">
    <w:name w:val="目录 911"/>
    <w:basedOn w:val="766"/>
    <w:next w:val="766"/>
    <w:uiPriority w:val="39"/>
    <w:unhideWhenUsed/>
    <w:qFormat/>
    <w:pPr>
      <w:ind w:left="2268" w:right="0" w:firstLine="0"/>
      <w:spacing w:after="57"/>
    </w:pPr>
  </w:style>
  <w:style w:type="paragraph" w:styleId="850" w:customStyle="1">
    <w:name w:val="标题11"/>
    <w:basedOn w:val="766"/>
    <w:next w:val="766"/>
    <w:link w:val="851"/>
    <w:uiPriority w:val="10"/>
    <w:qFormat/>
    <w:pPr>
      <w:contextualSpacing/>
      <w:spacing w:before="300" w:after="200"/>
    </w:pPr>
    <w:rPr>
      <w:sz w:val="48"/>
      <w:szCs w:val="48"/>
    </w:rPr>
  </w:style>
  <w:style w:type="character" w:styleId="851" w:customStyle="1">
    <w:name w:val="Title Char"/>
    <w:link w:val="850"/>
    <w:uiPriority w:val="10"/>
    <w:qFormat/>
    <w:rPr>
      <w:sz w:val="48"/>
      <w:szCs w:val="48"/>
    </w:rPr>
  </w:style>
  <w:style w:type="table" w:styleId="852" w:customStyle="1">
    <w:name w:val="网格型11"/>
    <w:uiPriority w:val="59"/>
    <w:qFormat/>
    <w:pPr>
      <w:spacing w:after="0" w:line="240" w:lineRule="auto"/>
    </w:pPr>
    <w:tblPr/>
  </w:style>
  <w:style w:type="character" w:styleId="853" w:customStyle="1">
    <w:name w:val="尾注引用1"/>
    <w:link w:val="766"/>
    <w:uiPriority w:val="99"/>
    <w:unhideWhenUsed/>
    <w:qFormat/>
    <w:rPr>
      <w:vertAlign w:val="superscript"/>
    </w:rPr>
  </w:style>
  <w:style w:type="character" w:styleId="854" w:customStyle="1">
    <w:name w:val="超链接11"/>
    <w:link w:val="766"/>
    <w:uiPriority w:val="99"/>
    <w:unhideWhenUsed/>
    <w:qFormat/>
    <w:rPr>
      <w:color w:val="0000ff"/>
      <w:u w:val="single"/>
    </w:rPr>
  </w:style>
  <w:style w:type="character" w:styleId="855" w:customStyle="1">
    <w:name w:val="脚注引用1"/>
    <w:link w:val="766"/>
    <w:uiPriority w:val="99"/>
    <w:unhideWhenUsed/>
    <w:qFormat/>
    <w:rPr>
      <w:vertAlign w:val="superscript"/>
    </w:rPr>
  </w:style>
  <w:style w:type="character" w:styleId="856" w:customStyle="1">
    <w:name w:val="Caption Char"/>
    <w:link w:val="836"/>
    <w:uiPriority w:val="99"/>
    <w:qFormat/>
  </w:style>
  <w:style w:type="character" w:styleId="857" w:customStyle="1">
    <w:name w:val="列出段落 字符1"/>
    <w:link w:val="766"/>
    <w:uiPriority w:val="34"/>
    <w:qFormat/>
    <w:rPr>
      <w:rFonts w:ascii="Calibri" w:hAnsi="Calibri" w:eastAsia="宋体"/>
      <w:sz w:val="21"/>
      <w:szCs w:val="22"/>
      <w:lang w:val="en-US" w:eastAsia="zh-CN" w:bidi="ar-SA"/>
    </w:rPr>
  </w:style>
  <w:style w:type="paragraph" w:styleId="858">
    <w:name w:val="List Paragraph"/>
    <w:basedOn w:val="766"/>
    <w:uiPriority w:val="34"/>
    <w:qFormat/>
    <w:pPr>
      <w:contextualSpacing/>
      <w:ind w:left="720"/>
    </w:pPr>
  </w:style>
  <w:style w:type="paragraph" w:styleId="859">
    <w:name w:val="No Spacing"/>
    <w:uiPriority w:val="1"/>
    <w:qFormat/>
    <w:pPr>
      <w:spacing w:before="0" w:after="0" w:line="240" w:lineRule="auto"/>
    </w:pPr>
    <w:rPr>
      <w:rFonts w:hint="default" w:ascii="Times New Roman" w:hAnsi="Times New Roman" w:eastAsia="宋体" w:cs="Times New Roman"/>
    </w:rPr>
  </w:style>
  <w:style w:type="paragraph" w:styleId="860">
    <w:name w:val="Quote"/>
    <w:basedOn w:val="766"/>
    <w:next w:val="766"/>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766"/>
    <w:next w:val="766"/>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table" w:styleId="864" w:customStyle="1">
    <w:name w:val="Table Grid Light"/>
    <w:uiPriority w:val="59"/>
    <w:qFormat/>
    <w:pPr>
      <w:spacing w:after="0" w:line="240" w:lineRule="auto"/>
    </w:pPr>
    <w:tblPr/>
  </w:style>
  <w:style w:type="table" w:styleId="865" w:customStyle="1">
    <w:name w:val="Plain Table 1"/>
    <w:uiPriority w:val="59"/>
    <w:qFormat/>
    <w:pPr>
      <w:spacing w:after="0" w:line="240" w:lineRule="auto"/>
    </w:pPr>
    <w:tblPr/>
  </w:style>
  <w:style w:type="table" w:styleId="866" w:customStyle="1">
    <w:name w:val="Plain Table 2"/>
    <w:uiPriority w:val="59"/>
    <w:qFormat/>
    <w:pPr>
      <w:spacing w:after="0" w:line="240" w:lineRule="auto"/>
    </w:pPr>
    <w:tblPr/>
  </w:style>
  <w:style w:type="table" w:styleId="867" w:customStyle="1">
    <w:name w:val="Plain Table 3"/>
    <w:uiPriority w:val="99"/>
    <w:qFormat/>
    <w:pPr>
      <w:spacing w:after="0" w:line="240" w:lineRule="auto"/>
    </w:pPr>
    <w:tblPr/>
  </w:style>
  <w:style w:type="table" w:styleId="868" w:customStyle="1">
    <w:name w:val="Plain Table 4"/>
    <w:uiPriority w:val="99"/>
    <w:qFormat/>
    <w:pPr>
      <w:spacing w:after="0" w:line="240" w:lineRule="auto"/>
    </w:pPr>
    <w:tblPr/>
  </w:style>
  <w:style w:type="table" w:styleId="869" w:customStyle="1">
    <w:name w:val="Plain Table 5"/>
    <w:uiPriority w:val="99"/>
    <w:qFormat/>
    <w:pPr>
      <w:spacing w:after="0" w:line="240" w:lineRule="auto"/>
    </w:pPr>
    <w:tblPr/>
  </w:style>
  <w:style w:type="table" w:styleId="870" w:customStyle="1">
    <w:name w:val="Grid Table 1 Light"/>
    <w:uiPriority w:val="99"/>
    <w:qFormat/>
    <w:pPr>
      <w:spacing w:after="0" w:line="240" w:lineRule="auto"/>
    </w:pPr>
    <w:tblPr/>
  </w:style>
  <w:style w:type="table" w:styleId="871" w:customStyle="1">
    <w:name w:val="Grid Table 1 Light - Accent 1"/>
    <w:uiPriority w:val="99"/>
    <w:qFormat/>
    <w:pPr>
      <w:spacing w:after="0" w:line="240" w:lineRule="auto"/>
    </w:pPr>
    <w:tblPr/>
  </w:style>
  <w:style w:type="table" w:styleId="872" w:customStyle="1">
    <w:name w:val="Grid Table 1 Light - Accent 2"/>
    <w:uiPriority w:val="99"/>
    <w:qFormat/>
    <w:pPr>
      <w:spacing w:after="0" w:line="240" w:lineRule="auto"/>
    </w:pPr>
    <w:tblPr/>
  </w:style>
  <w:style w:type="table" w:styleId="873" w:customStyle="1">
    <w:name w:val="Grid Table 1 Light - Accent 3"/>
    <w:uiPriority w:val="99"/>
    <w:qFormat/>
    <w:pPr>
      <w:spacing w:after="0" w:line="240" w:lineRule="auto"/>
    </w:pPr>
    <w:tblPr/>
  </w:style>
  <w:style w:type="table" w:styleId="874" w:customStyle="1">
    <w:name w:val="Grid Table 1 Light - Accent 4"/>
    <w:uiPriority w:val="99"/>
    <w:qFormat/>
    <w:pPr>
      <w:spacing w:after="0" w:line="240" w:lineRule="auto"/>
    </w:pPr>
    <w:tblPr/>
  </w:style>
  <w:style w:type="table" w:styleId="875" w:customStyle="1">
    <w:name w:val="Grid Table 1 Light - Accent 5"/>
    <w:uiPriority w:val="99"/>
    <w:qFormat/>
    <w:pPr>
      <w:spacing w:after="0" w:line="240" w:lineRule="auto"/>
    </w:pPr>
    <w:tblPr/>
  </w:style>
  <w:style w:type="table" w:styleId="876" w:customStyle="1">
    <w:name w:val="Grid Table 1 Light - Accent 6"/>
    <w:uiPriority w:val="99"/>
    <w:qFormat/>
    <w:pPr>
      <w:spacing w:after="0" w:line="240" w:lineRule="auto"/>
    </w:pPr>
    <w:tblPr/>
  </w:style>
  <w:style w:type="table" w:styleId="877" w:customStyle="1">
    <w:name w:val="Grid Table 2"/>
    <w:uiPriority w:val="99"/>
    <w:qFormat/>
    <w:pPr>
      <w:spacing w:after="0" w:line="240" w:lineRule="auto"/>
    </w:pPr>
    <w:tblPr/>
  </w:style>
  <w:style w:type="table" w:styleId="878" w:customStyle="1">
    <w:name w:val="Grid Table 2 - Accent 1"/>
    <w:uiPriority w:val="99"/>
    <w:qFormat/>
    <w:pPr>
      <w:spacing w:after="0" w:line="240" w:lineRule="auto"/>
    </w:pPr>
    <w:tblPr/>
  </w:style>
  <w:style w:type="table" w:styleId="879" w:customStyle="1">
    <w:name w:val="Grid Table 2 - Accent 2"/>
    <w:uiPriority w:val="99"/>
    <w:qFormat/>
    <w:pPr>
      <w:spacing w:after="0" w:line="240" w:lineRule="auto"/>
    </w:pPr>
    <w:tblPr/>
  </w:style>
  <w:style w:type="table" w:styleId="880" w:customStyle="1">
    <w:name w:val="Grid Table 2 - Accent 3"/>
    <w:uiPriority w:val="99"/>
    <w:qFormat/>
    <w:pPr>
      <w:spacing w:after="0" w:line="240" w:lineRule="auto"/>
    </w:pPr>
    <w:tblPr/>
  </w:style>
  <w:style w:type="table" w:styleId="881" w:customStyle="1">
    <w:name w:val="Grid Table 2 - Accent 4"/>
    <w:uiPriority w:val="99"/>
    <w:qFormat/>
    <w:pPr>
      <w:spacing w:after="0" w:line="240" w:lineRule="auto"/>
    </w:pPr>
    <w:tblPr/>
  </w:style>
  <w:style w:type="table" w:styleId="882" w:customStyle="1">
    <w:name w:val="Grid Table 2 - Accent 5"/>
    <w:uiPriority w:val="99"/>
    <w:qFormat/>
    <w:pPr>
      <w:spacing w:after="0" w:line="240" w:lineRule="auto"/>
    </w:pPr>
    <w:tblPr/>
  </w:style>
  <w:style w:type="table" w:styleId="883" w:customStyle="1">
    <w:name w:val="Grid Table 2 - Accent 6"/>
    <w:uiPriority w:val="99"/>
    <w:qFormat/>
    <w:pPr>
      <w:spacing w:after="0" w:line="240" w:lineRule="auto"/>
    </w:pPr>
    <w:tblPr/>
  </w:style>
  <w:style w:type="table" w:styleId="884" w:customStyle="1">
    <w:name w:val="Grid Table 3"/>
    <w:uiPriority w:val="99"/>
    <w:qFormat/>
    <w:pPr>
      <w:spacing w:after="0" w:line="240" w:lineRule="auto"/>
    </w:pPr>
    <w:tblPr/>
  </w:style>
  <w:style w:type="table" w:styleId="885" w:customStyle="1">
    <w:name w:val="Grid Table 3 - Accent 1"/>
    <w:uiPriority w:val="99"/>
    <w:qFormat/>
    <w:pPr>
      <w:spacing w:after="0" w:line="240" w:lineRule="auto"/>
    </w:pPr>
    <w:tblPr/>
  </w:style>
  <w:style w:type="table" w:styleId="886" w:customStyle="1">
    <w:name w:val="Grid Table 3 - Accent 2"/>
    <w:uiPriority w:val="99"/>
    <w:qFormat/>
    <w:pPr>
      <w:spacing w:after="0" w:line="240" w:lineRule="auto"/>
    </w:pPr>
    <w:tblPr/>
  </w:style>
  <w:style w:type="table" w:styleId="887" w:customStyle="1">
    <w:name w:val="Grid Table 3 - Accent 3"/>
    <w:uiPriority w:val="99"/>
    <w:qFormat/>
    <w:pPr>
      <w:spacing w:after="0" w:line="240" w:lineRule="auto"/>
    </w:pPr>
    <w:tblPr/>
  </w:style>
  <w:style w:type="table" w:styleId="888" w:customStyle="1">
    <w:name w:val="Grid Table 3 - Accent 4"/>
    <w:uiPriority w:val="99"/>
    <w:qFormat/>
    <w:pPr>
      <w:spacing w:after="0" w:line="240" w:lineRule="auto"/>
    </w:pPr>
    <w:tblPr/>
  </w:style>
  <w:style w:type="table" w:styleId="889" w:customStyle="1">
    <w:name w:val="Grid Table 3 - Accent 5"/>
    <w:uiPriority w:val="99"/>
    <w:qFormat/>
    <w:pPr>
      <w:spacing w:after="0" w:line="240" w:lineRule="auto"/>
    </w:pPr>
    <w:tblPr/>
  </w:style>
  <w:style w:type="table" w:styleId="890" w:customStyle="1">
    <w:name w:val="Grid Table 3 - Accent 6"/>
    <w:uiPriority w:val="99"/>
    <w:qFormat/>
    <w:pPr>
      <w:spacing w:after="0" w:line="240" w:lineRule="auto"/>
    </w:pPr>
    <w:tblPr/>
  </w:style>
  <w:style w:type="table" w:styleId="891" w:customStyle="1">
    <w:name w:val="Grid Table 4"/>
    <w:uiPriority w:val="59"/>
    <w:qFormat/>
    <w:pPr>
      <w:spacing w:after="0" w:line="240" w:lineRule="auto"/>
    </w:pPr>
    <w:tblPr/>
  </w:style>
  <w:style w:type="table" w:styleId="892" w:customStyle="1">
    <w:name w:val="Grid Table 4 - Accent 1"/>
    <w:uiPriority w:val="59"/>
    <w:qFormat/>
    <w:pPr>
      <w:spacing w:after="0" w:line="240" w:lineRule="auto"/>
    </w:pPr>
    <w:tblPr/>
  </w:style>
  <w:style w:type="table" w:styleId="893" w:customStyle="1">
    <w:name w:val="Grid Table 4 - Accent 2"/>
    <w:uiPriority w:val="59"/>
    <w:qFormat/>
    <w:pPr>
      <w:spacing w:after="0" w:line="240" w:lineRule="auto"/>
    </w:pPr>
    <w:tblPr/>
  </w:style>
  <w:style w:type="table" w:styleId="894" w:customStyle="1">
    <w:name w:val="Grid Table 4 - Accent 3"/>
    <w:uiPriority w:val="59"/>
    <w:qFormat/>
    <w:pPr>
      <w:spacing w:after="0" w:line="240" w:lineRule="auto"/>
    </w:pPr>
    <w:tblPr/>
  </w:style>
  <w:style w:type="table" w:styleId="895" w:customStyle="1">
    <w:name w:val="Grid Table 4 - Accent 4"/>
    <w:uiPriority w:val="59"/>
    <w:qFormat/>
    <w:pPr>
      <w:spacing w:after="0" w:line="240" w:lineRule="auto"/>
    </w:pPr>
    <w:tblPr/>
  </w:style>
  <w:style w:type="table" w:styleId="896" w:customStyle="1">
    <w:name w:val="Grid Table 4 - Accent 5"/>
    <w:uiPriority w:val="59"/>
    <w:qFormat/>
    <w:pPr>
      <w:spacing w:after="0" w:line="240" w:lineRule="auto"/>
    </w:pPr>
    <w:tblPr/>
  </w:style>
  <w:style w:type="table" w:styleId="897" w:customStyle="1">
    <w:name w:val="Grid Table 4 - Accent 6"/>
    <w:uiPriority w:val="59"/>
    <w:qFormat/>
    <w:pPr>
      <w:spacing w:after="0" w:line="240" w:lineRule="auto"/>
    </w:pPr>
    <w:tblPr/>
  </w:style>
  <w:style w:type="table" w:styleId="898" w:customStyle="1">
    <w:name w:val="Grid Table 5 Dark"/>
    <w:uiPriority w:val="99"/>
    <w:qFormat/>
    <w:pPr>
      <w:spacing w:after="0" w:line="240" w:lineRule="auto"/>
    </w:pPr>
    <w:tblPr/>
  </w:style>
  <w:style w:type="table" w:styleId="899" w:customStyle="1">
    <w:name w:val="Grid Table 5 Dark- Accent 1"/>
    <w:uiPriority w:val="99"/>
    <w:qFormat/>
    <w:pPr>
      <w:spacing w:after="0" w:line="240" w:lineRule="auto"/>
    </w:pPr>
    <w:tblPr/>
  </w:style>
  <w:style w:type="table" w:styleId="900" w:customStyle="1">
    <w:name w:val="Grid Table 5 Dark - Accent 2"/>
    <w:uiPriority w:val="99"/>
    <w:qFormat/>
    <w:pPr>
      <w:spacing w:after="0" w:line="240" w:lineRule="auto"/>
    </w:pPr>
    <w:tblPr/>
  </w:style>
  <w:style w:type="table" w:styleId="901" w:customStyle="1">
    <w:name w:val="Grid Table 5 Dark - Accent 3"/>
    <w:uiPriority w:val="99"/>
    <w:qFormat/>
    <w:pPr>
      <w:spacing w:after="0" w:line="240" w:lineRule="auto"/>
    </w:pPr>
    <w:tblPr/>
  </w:style>
  <w:style w:type="table" w:styleId="902" w:customStyle="1">
    <w:name w:val="Grid Table 5 Dark- Accent 4"/>
    <w:uiPriority w:val="99"/>
    <w:qFormat/>
    <w:pPr>
      <w:spacing w:after="0" w:line="240" w:lineRule="auto"/>
    </w:pPr>
    <w:tblPr/>
  </w:style>
  <w:style w:type="table" w:styleId="903" w:customStyle="1">
    <w:name w:val="Grid Table 5 Dark - Accent 5"/>
    <w:uiPriority w:val="99"/>
    <w:qFormat/>
    <w:pPr>
      <w:spacing w:after="0" w:line="240" w:lineRule="auto"/>
    </w:pPr>
    <w:tblPr/>
  </w:style>
  <w:style w:type="table" w:styleId="904" w:customStyle="1">
    <w:name w:val="Grid Table 5 Dark - Accent 6"/>
    <w:uiPriority w:val="99"/>
    <w:qFormat/>
    <w:pPr>
      <w:spacing w:after="0" w:line="240" w:lineRule="auto"/>
    </w:pPr>
    <w:tblPr/>
  </w:style>
  <w:style w:type="table" w:styleId="905" w:customStyle="1">
    <w:name w:val="Grid Table 6 Colorful"/>
    <w:uiPriority w:val="99"/>
    <w:qFormat/>
    <w:pPr>
      <w:spacing w:after="0" w:line="240" w:lineRule="auto"/>
    </w:pPr>
    <w:tblPr/>
  </w:style>
  <w:style w:type="table" w:styleId="906" w:customStyle="1">
    <w:name w:val="Grid Table 6 Colorful - Accent 1"/>
    <w:uiPriority w:val="99"/>
    <w:qFormat/>
    <w:pPr>
      <w:spacing w:after="0" w:line="240" w:lineRule="auto"/>
    </w:pPr>
    <w:tblPr/>
  </w:style>
  <w:style w:type="table" w:styleId="907" w:customStyle="1">
    <w:name w:val="Grid Table 6 Colorful - Accent 2"/>
    <w:uiPriority w:val="99"/>
    <w:qFormat/>
    <w:pPr>
      <w:spacing w:after="0" w:line="240" w:lineRule="auto"/>
    </w:pPr>
    <w:tblPr/>
  </w:style>
  <w:style w:type="table" w:styleId="908" w:customStyle="1">
    <w:name w:val="Grid Table 6 Colorful - Accent 3"/>
    <w:uiPriority w:val="99"/>
    <w:qFormat/>
    <w:pPr>
      <w:spacing w:after="0" w:line="240" w:lineRule="auto"/>
    </w:pPr>
    <w:tblPr/>
  </w:style>
  <w:style w:type="table" w:styleId="909" w:customStyle="1">
    <w:name w:val="Grid Table 6 Colorful - Accent 4"/>
    <w:uiPriority w:val="99"/>
    <w:qFormat/>
    <w:pPr>
      <w:spacing w:after="0" w:line="240" w:lineRule="auto"/>
    </w:pPr>
    <w:tblPr/>
  </w:style>
  <w:style w:type="table" w:styleId="910" w:customStyle="1">
    <w:name w:val="Grid Table 6 Colorful - Accent 5"/>
    <w:uiPriority w:val="99"/>
    <w:qFormat/>
    <w:pPr>
      <w:spacing w:after="0" w:line="240" w:lineRule="auto"/>
    </w:pPr>
    <w:tblPr/>
  </w:style>
  <w:style w:type="table" w:styleId="911" w:customStyle="1">
    <w:name w:val="Grid Table 6 Colorful - Accent 6"/>
    <w:uiPriority w:val="99"/>
    <w:qFormat/>
    <w:pPr>
      <w:spacing w:after="0" w:line="240" w:lineRule="auto"/>
    </w:pPr>
    <w:tblPr/>
  </w:style>
  <w:style w:type="table" w:styleId="912" w:customStyle="1">
    <w:name w:val="Grid Table 7 Colorful"/>
    <w:uiPriority w:val="99"/>
    <w:qFormat/>
    <w:pPr>
      <w:spacing w:after="0" w:line="240" w:lineRule="auto"/>
    </w:pPr>
    <w:tblPr/>
  </w:style>
  <w:style w:type="table" w:styleId="913" w:customStyle="1">
    <w:name w:val="Grid Table 7 Colorful - Accent 1"/>
    <w:uiPriority w:val="99"/>
    <w:qFormat/>
    <w:pPr>
      <w:spacing w:after="0" w:line="240" w:lineRule="auto"/>
    </w:pPr>
    <w:tblPr/>
  </w:style>
  <w:style w:type="table" w:styleId="914" w:customStyle="1">
    <w:name w:val="Grid Table 7 Colorful - Accent 2"/>
    <w:uiPriority w:val="99"/>
    <w:qFormat/>
    <w:pPr>
      <w:spacing w:after="0" w:line="240" w:lineRule="auto"/>
    </w:pPr>
    <w:tblPr/>
  </w:style>
  <w:style w:type="table" w:styleId="915" w:customStyle="1">
    <w:name w:val="Grid Table 7 Colorful - Accent 3"/>
    <w:uiPriority w:val="99"/>
    <w:qFormat/>
    <w:pPr>
      <w:spacing w:after="0" w:line="240" w:lineRule="auto"/>
    </w:pPr>
    <w:tblPr/>
  </w:style>
  <w:style w:type="table" w:styleId="916" w:customStyle="1">
    <w:name w:val="Grid Table 7 Colorful - Accent 4"/>
    <w:uiPriority w:val="99"/>
    <w:qFormat/>
    <w:pPr>
      <w:spacing w:after="0" w:line="240" w:lineRule="auto"/>
    </w:pPr>
    <w:tblPr/>
  </w:style>
  <w:style w:type="table" w:styleId="917" w:customStyle="1">
    <w:name w:val="Grid Table 7 Colorful - Accent 5"/>
    <w:uiPriority w:val="99"/>
    <w:qFormat/>
    <w:pPr>
      <w:spacing w:after="0" w:line="240" w:lineRule="auto"/>
    </w:pPr>
    <w:tblPr/>
  </w:style>
  <w:style w:type="table" w:styleId="918" w:customStyle="1">
    <w:name w:val="Grid Table 7 Colorful - Accent 6"/>
    <w:uiPriority w:val="99"/>
    <w:qFormat/>
    <w:pPr>
      <w:spacing w:after="0" w:line="240" w:lineRule="auto"/>
    </w:pPr>
    <w:tblPr/>
  </w:style>
  <w:style w:type="table" w:styleId="919" w:customStyle="1">
    <w:name w:val="List Table 1 Light"/>
    <w:uiPriority w:val="99"/>
    <w:qFormat/>
    <w:pPr>
      <w:spacing w:after="0" w:line="240" w:lineRule="auto"/>
    </w:pPr>
    <w:tblPr/>
  </w:style>
  <w:style w:type="table" w:styleId="920" w:customStyle="1">
    <w:name w:val="List Table 1 Light - Accent 1"/>
    <w:uiPriority w:val="99"/>
    <w:qFormat/>
    <w:pPr>
      <w:spacing w:after="0" w:line="240" w:lineRule="auto"/>
    </w:pPr>
    <w:tblPr/>
  </w:style>
  <w:style w:type="table" w:styleId="921" w:customStyle="1">
    <w:name w:val="List Table 1 Light - Accent 2"/>
    <w:uiPriority w:val="99"/>
    <w:qFormat/>
    <w:pPr>
      <w:spacing w:after="0" w:line="240" w:lineRule="auto"/>
    </w:pPr>
    <w:tblPr/>
  </w:style>
  <w:style w:type="table" w:styleId="922" w:customStyle="1">
    <w:name w:val="List Table 1 Light - Accent 3"/>
    <w:uiPriority w:val="99"/>
    <w:qFormat/>
    <w:pPr>
      <w:spacing w:after="0" w:line="240" w:lineRule="auto"/>
    </w:pPr>
    <w:tblPr/>
  </w:style>
  <w:style w:type="table" w:styleId="923" w:customStyle="1">
    <w:name w:val="List Table 1 Light - Accent 4"/>
    <w:uiPriority w:val="99"/>
    <w:qFormat/>
    <w:pPr>
      <w:spacing w:after="0" w:line="240" w:lineRule="auto"/>
    </w:pPr>
    <w:tblPr/>
  </w:style>
  <w:style w:type="table" w:styleId="924" w:customStyle="1">
    <w:name w:val="List Table 1 Light - Accent 5"/>
    <w:uiPriority w:val="99"/>
    <w:qFormat/>
    <w:pPr>
      <w:spacing w:after="0" w:line="240" w:lineRule="auto"/>
    </w:pPr>
    <w:tblPr/>
  </w:style>
  <w:style w:type="table" w:styleId="925" w:customStyle="1">
    <w:name w:val="List Table 1 Light - Accent 6"/>
    <w:uiPriority w:val="99"/>
    <w:qFormat/>
    <w:pPr>
      <w:spacing w:after="0" w:line="240" w:lineRule="auto"/>
    </w:pPr>
    <w:tblPr/>
  </w:style>
  <w:style w:type="table" w:styleId="926" w:customStyle="1">
    <w:name w:val="List Table 2"/>
    <w:uiPriority w:val="99"/>
    <w:qFormat/>
    <w:pPr>
      <w:spacing w:after="0" w:line="240" w:lineRule="auto"/>
    </w:pPr>
    <w:tblPr/>
  </w:style>
  <w:style w:type="table" w:styleId="927" w:customStyle="1">
    <w:name w:val="List Table 2 - Accent 1"/>
    <w:uiPriority w:val="99"/>
    <w:qFormat/>
    <w:pPr>
      <w:spacing w:after="0" w:line="240" w:lineRule="auto"/>
    </w:pPr>
    <w:tblPr/>
  </w:style>
  <w:style w:type="table" w:styleId="928" w:customStyle="1">
    <w:name w:val="List Table 2 - Accent 2"/>
    <w:uiPriority w:val="99"/>
    <w:qFormat/>
    <w:pPr>
      <w:spacing w:after="0" w:line="240" w:lineRule="auto"/>
    </w:pPr>
    <w:tblPr/>
  </w:style>
  <w:style w:type="table" w:styleId="929" w:customStyle="1">
    <w:name w:val="List Table 2 - Accent 3"/>
    <w:uiPriority w:val="99"/>
    <w:qFormat/>
    <w:pPr>
      <w:spacing w:after="0" w:line="240" w:lineRule="auto"/>
    </w:pPr>
    <w:tblPr/>
  </w:style>
  <w:style w:type="table" w:styleId="930" w:customStyle="1">
    <w:name w:val="List Table 2 - Accent 4"/>
    <w:uiPriority w:val="99"/>
    <w:qFormat/>
    <w:pPr>
      <w:spacing w:after="0" w:line="240" w:lineRule="auto"/>
    </w:pPr>
    <w:tblPr/>
  </w:style>
  <w:style w:type="table" w:styleId="931" w:customStyle="1">
    <w:name w:val="List Table 2 - Accent 5"/>
    <w:uiPriority w:val="99"/>
    <w:qFormat/>
    <w:pPr>
      <w:spacing w:after="0" w:line="240" w:lineRule="auto"/>
    </w:pPr>
    <w:tblPr/>
  </w:style>
  <w:style w:type="table" w:styleId="932" w:customStyle="1">
    <w:name w:val="List Table 2 - Accent 6"/>
    <w:uiPriority w:val="99"/>
    <w:qFormat/>
    <w:pPr>
      <w:spacing w:after="0" w:line="240" w:lineRule="auto"/>
    </w:pPr>
    <w:tblPr/>
  </w:style>
  <w:style w:type="table" w:styleId="933" w:customStyle="1">
    <w:name w:val="List Table 3"/>
    <w:uiPriority w:val="99"/>
    <w:qFormat/>
    <w:pPr>
      <w:spacing w:after="0" w:line="240" w:lineRule="auto"/>
    </w:pPr>
    <w:tblPr/>
  </w:style>
  <w:style w:type="table" w:styleId="934" w:customStyle="1">
    <w:name w:val="List Table 3 - Accent 1"/>
    <w:uiPriority w:val="99"/>
    <w:qFormat/>
    <w:pPr>
      <w:spacing w:after="0" w:line="240" w:lineRule="auto"/>
    </w:pPr>
    <w:tblPr/>
  </w:style>
  <w:style w:type="table" w:styleId="935" w:customStyle="1">
    <w:name w:val="List Table 3 - Accent 2"/>
    <w:uiPriority w:val="99"/>
    <w:qFormat/>
    <w:pPr>
      <w:spacing w:after="0" w:line="240" w:lineRule="auto"/>
    </w:pPr>
    <w:tblPr/>
  </w:style>
  <w:style w:type="table" w:styleId="936" w:customStyle="1">
    <w:name w:val="List Table 3 - Accent 3"/>
    <w:uiPriority w:val="99"/>
    <w:qFormat/>
    <w:pPr>
      <w:spacing w:after="0" w:line="240" w:lineRule="auto"/>
    </w:pPr>
    <w:tblPr/>
  </w:style>
  <w:style w:type="table" w:styleId="937" w:customStyle="1">
    <w:name w:val="List Table 3 - Accent 4"/>
    <w:uiPriority w:val="99"/>
    <w:qFormat/>
    <w:pPr>
      <w:spacing w:after="0" w:line="240" w:lineRule="auto"/>
    </w:pPr>
    <w:tblPr/>
  </w:style>
  <w:style w:type="table" w:styleId="938" w:customStyle="1">
    <w:name w:val="List Table 3 - Accent 5"/>
    <w:uiPriority w:val="99"/>
    <w:qFormat/>
    <w:pPr>
      <w:spacing w:after="0" w:line="240" w:lineRule="auto"/>
    </w:pPr>
    <w:tblPr/>
  </w:style>
  <w:style w:type="table" w:styleId="939" w:customStyle="1">
    <w:name w:val="List Table 3 - Accent 6"/>
    <w:uiPriority w:val="99"/>
    <w:qFormat/>
    <w:pPr>
      <w:spacing w:after="0" w:line="240" w:lineRule="auto"/>
    </w:pPr>
    <w:tblPr/>
  </w:style>
  <w:style w:type="table" w:styleId="940" w:customStyle="1">
    <w:name w:val="List Table 4"/>
    <w:uiPriority w:val="99"/>
    <w:qFormat/>
    <w:pPr>
      <w:spacing w:after="0" w:line="240" w:lineRule="auto"/>
    </w:pPr>
    <w:tblPr/>
  </w:style>
  <w:style w:type="table" w:styleId="941" w:customStyle="1">
    <w:name w:val="List Table 4 - Accent 1"/>
    <w:uiPriority w:val="99"/>
    <w:qFormat/>
    <w:pPr>
      <w:spacing w:after="0" w:line="240" w:lineRule="auto"/>
    </w:pPr>
    <w:tblPr/>
  </w:style>
  <w:style w:type="table" w:styleId="942" w:customStyle="1">
    <w:name w:val="List Table 4 - Accent 2"/>
    <w:uiPriority w:val="99"/>
    <w:qFormat/>
    <w:pPr>
      <w:spacing w:after="0" w:line="240" w:lineRule="auto"/>
    </w:pPr>
    <w:tblPr/>
  </w:style>
  <w:style w:type="table" w:styleId="943" w:customStyle="1">
    <w:name w:val="List Table 4 - Accent 3"/>
    <w:uiPriority w:val="99"/>
    <w:qFormat/>
    <w:pPr>
      <w:spacing w:after="0" w:line="240" w:lineRule="auto"/>
    </w:pPr>
    <w:tblPr/>
  </w:style>
  <w:style w:type="table" w:styleId="944" w:customStyle="1">
    <w:name w:val="List Table 4 - Accent 4"/>
    <w:uiPriority w:val="99"/>
    <w:qFormat/>
    <w:pPr>
      <w:spacing w:after="0" w:line="240" w:lineRule="auto"/>
    </w:pPr>
    <w:tblPr/>
  </w:style>
  <w:style w:type="table" w:styleId="945" w:customStyle="1">
    <w:name w:val="List Table 4 - Accent 5"/>
    <w:uiPriority w:val="99"/>
    <w:qFormat/>
    <w:pPr>
      <w:spacing w:after="0" w:line="240" w:lineRule="auto"/>
    </w:pPr>
    <w:tblPr/>
  </w:style>
  <w:style w:type="table" w:styleId="946" w:customStyle="1">
    <w:name w:val="List Table 4 - Accent 6"/>
    <w:uiPriority w:val="99"/>
    <w:qFormat/>
    <w:pPr>
      <w:spacing w:after="0" w:line="240" w:lineRule="auto"/>
    </w:pPr>
    <w:tblPr/>
  </w:style>
  <w:style w:type="table" w:styleId="947" w:customStyle="1">
    <w:name w:val="List Table 5 Dark"/>
    <w:uiPriority w:val="99"/>
    <w:qFormat/>
    <w:pPr>
      <w:spacing w:after="0" w:line="240" w:lineRule="auto"/>
    </w:pPr>
    <w:tblPr/>
  </w:style>
  <w:style w:type="table" w:styleId="948" w:customStyle="1">
    <w:name w:val="List Table 5 Dark - Accent 1"/>
    <w:uiPriority w:val="99"/>
    <w:qFormat/>
    <w:pPr>
      <w:spacing w:after="0" w:line="240" w:lineRule="auto"/>
    </w:pPr>
    <w:tblPr/>
  </w:style>
  <w:style w:type="table" w:styleId="949" w:customStyle="1">
    <w:name w:val="List Table 5 Dark - Accent 2"/>
    <w:uiPriority w:val="99"/>
    <w:qFormat/>
    <w:pPr>
      <w:spacing w:after="0" w:line="240" w:lineRule="auto"/>
    </w:pPr>
    <w:tblPr/>
  </w:style>
  <w:style w:type="table" w:styleId="950" w:customStyle="1">
    <w:name w:val="List Table 5 Dark - Accent 3"/>
    <w:uiPriority w:val="99"/>
    <w:qFormat/>
    <w:pPr>
      <w:spacing w:after="0" w:line="240" w:lineRule="auto"/>
    </w:pPr>
    <w:tblPr/>
  </w:style>
  <w:style w:type="table" w:styleId="951" w:customStyle="1">
    <w:name w:val="List Table 5 Dark - Accent 4"/>
    <w:uiPriority w:val="99"/>
    <w:qFormat/>
    <w:pPr>
      <w:spacing w:after="0" w:line="240" w:lineRule="auto"/>
    </w:pPr>
    <w:tblPr/>
  </w:style>
  <w:style w:type="table" w:styleId="952" w:customStyle="1">
    <w:name w:val="List Table 5 Dark - Accent 5"/>
    <w:uiPriority w:val="99"/>
    <w:qFormat/>
    <w:pPr>
      <w:spacing w:after="0" w:line="240" w:lineRule="auto"/>
    </w:pPr>
    <w:tblPr/>
  </w:style>
  <w:style w:type="table" w:styleId="953" w:customStyle="1">
    <w:name w:val="List Table 5 Dark - Accent 6"/>
    <w:uiPriority w:val="99"/>
    <w:qFormat/>
    <w:pPr>
      <w:spacing w:after="0" w:line="240" w:lineRule="auto"/>
    </w:pPr>
    <w:tblPr/>
  </w:style>
  <w:style w:type="table" w:styleId="954" w:customStyle="1">
    <w:name w:val="List Table 6 Colorful"/>
    <w:uiPriority w:val="99"/>
    <w:qFormat/>
    <w:pPr>
      <w:spacing w:after="0" w:line="240" w:lineRule="auto"/>
    </w:pPr>
    <w:tblPr/>
  </w:style>
  <w:style w:type="table" w:styleId="955" w:customStyle="1">
    <w:name w:val="List Table 6 Colorful - Accent 1"/>
    <w:uiPriority w:val="99"/>
    <w:qFormat/>
    <w:pPr>
      <w:spacing w:after="0" w:line="240" w:lineRule="auto"/>
    </w:pPr>
    <w:tblPr/>
  </w:style>
  <w:style w:type="table" w:styleId="956" w:customStyle="1">
    <w:name w:val="List Table 6 Colorful - Accent 2"/>
    <w:uiPriority w:val="99"/>
    <w:qFormat/>
    <w:pPr>
      <w:spacing w:after="0" w:line="240" w:lineRule="auto"/>
    </w:pPr>
    <w:tblPr/>
  </w:style>
  <w:style w:type="table" w:styleId="957" w:customStyle="1">
    <w:name w:val="List Table 6 Colorful - Accent 3"/>
    <w:uiPriority w:val="99"/>
    <w:qFormat/>
    <w:pPr>
      <w:spacing w:after="0" w:line="240" w:lineRule="auto"/>
    </w:pPr>
    <w:tblPr/>
  </w:style>
  <w:style w:type="table" w:styleId="958" w:customStyle="1">
    <w:name w:val="List Table 6 Colorful - Accent 4"/>
    <w:uiPriority w:val="99"/>
    <w:qFormat/>
    <w:pPr>
      <w:spacing w:after="0" w:line="240" w:lineRule="auto"/>
    </w:pPr>
    <w:tblPr/>
  </w:style>
  <w:style w:type="table" w:styleId="959" w:customStyle="1">
    <w:name w:val="List Table 6 Colorful - Accent 5"/>
    <w:uiPriority w:val="99"/>
    <w:qFormat/>
    <w:pPr>
      <w:spacing w:after="0" w:line="240" w:lineRule="auto"/>
    </w:pPr>
    <w:tblPr/>
  </w:style>
  <w:style w:type="table" w:styleId="960" w:customStyle="1">
    <w:name w:val="List Table 6 Colorful - Accent 6"/>
    <w:uiPriority w:val="99"/>
    <w:qFormat/>
    <w:pPr>
      <w:spacing w:after="0" w:line="240" w:lineRule="auto"/>
    </w:pPr>
    <w:tblPr/>
  </w:style>
  <w:style w:type="table" w:styleId="961" w:customStyle="1">
    <w:name w:val="List Table 7 Colorful"/>
    <w:uiPriority w:val="99"/>
    <w:qFormat/>
    <w:pPr>
      <w:spacing w:after="0" w:line="240" w:lineRule="auto"/>
    </w:pPr>
    <w:tblPr/>
  </w:style>
  <w:style w:type="table" w:styleId="962" w:customStyle="1">
    <w:name w:val="List Table 7 Colorful - Accent 1"/>
    <w:uiPriority w:val="99"/>
    <w:qFormat/>
    <w:pPr>
      <w:spacing w:after="0" w:line="240" w:lineRule="auto"/>
    </w:pPr>
    <w:tblPr/>
  </w:style>
  <w:style w:type="table" w:styleId="963" w:customStyle="1">
    <w:name w:val="List Table 7 Colorful - Accent 2"/>
    <w:uiPriority w:val="99"/>
    <w:qFormat/>
    <w:pPr>
      <w:spacing w:after="0" w:line="240" w:lineRule="auto"/>
    </w:pPr>
    <w:tblPr/>
  </w:style>
  <w:style w:type="table" w:styleId="964" w:customStyle="1">
    <w:name w:val="List Table 7 Colorful - Accent 3"/>
    <w:uiPriority w:val="99"/>
    <w:qFormat/>
    <w:pPr>
      <w:spacing w:after="0" w:line="240" w:lineRule="auto"/>
    </w:pPr>
    <w:tblPr/>
  </w:style>
  <w:style w:type="table" w:styleId="965" w:customStyle="1">
    <w:name w:val="List Table 7 Colorful - Accent 4"/>
    <w:uiPriority w:val="99"/>
    <w:qFormat/>
    <w:pPr>
      <w:spacing w:after="0" w:line="240" w:lineRule="auto"/>
    </w:pPr>
    <w:tblPr/>
  </w:style>
  <w:style w:type="table" w:styleId="966" w:customStyle="1">
    <w:name w:val="List Table 7 Colorful - Accent 5"/>
    <w:uiPriority w:val="99"/>
    <w:qFormat/>
    <w:pPr>
      <w:spacing w:after="0" w:line="240" w:lineRule="auto"/>
    </w:pPr>
    <w:tblPr/>
  </w:style>
  <w:style w:type="table" w:styleId="967" w:customStyle="1">
    <w:name w:val="List Table 7 Colorful - Accent 6"/>
    <w:uiPriority w:val="99"/>
    <w:qFormat/>
    <w:pPr>
      <w:spacing w:after="0" w:line="240" w:lineRule="auto"/>
    </w:pPr>
    <w:tblPr/>
  </w:style>
  <w:style w:type="table" w:styleId="968" w:customStyle="1">
    <w:name w:val="Lined - Accent"/>
    <w:uiPriority w:val="99"/>
    <w:qFormat/>
    <w:pPr>
      <w:spacing w:after="0" w:line="240" w:lineRule="auto"/>
    </w:pPr>
    <w:rPr>
      <w:color w:val="404040"/>
    </w:rPr>
    <w:tblPr/>
  </w:style>
  <w:style w:type="table" w:styleId="969" w:customStyle="1">
    <w:name w:val="Lined - Accent 1"/>
    <w:uiPriority w:val="99"/>
    <w:qFormat/>
    <w:pPr>
      <w:spacing w:after="0" w:line="240" w:lineRule="auto"/>
    </w:pPr>
    <w:rPr>
      <w:color w:val="404040"/>
    </w:rPr>
    <w:tblPr/>
  </w:style>
  <w:style w:type="table" w:styleId="970" w:customStyle="1">
    <w:name w:val="Lined - Accent 2"/>
    <w:uiPriority w:val="99"/>
    <w:qFormat/>
    <w:pPr>
      <w:spacing w:after="0" w:line="240" w:lineRule="auto"/>
    </w:pPr>
    <w:rPr>
      <w:color w:val="404040"/>
    </w:rPr>
    <w:tblPr/>
  </w:style>
  <w:style w:type="table" w:styleId="971" w:customStyle="1">
    <w:name w:val="Lined - Accent 3"/>
    <w:uiPriority w:val="99"/>
    <w:qFormat/>
    <w:pPr>
      <w:spacing w:after="0" w:line="240" w:lineRule="auto"/>
    </w:pPr>
    <w:rPr>
      <w:color w:val="404040"/>
    </w:rPr>
    <w:tblPr/>
  </w:style>
  <w:style w:type="table" w:styleId="972" w:customStyle="1">
    <w:name w:val="Lined - Accent 4"/>
    <w:uiPriority w:val="99"/>
    <w:qFormat/>
    <w:pPr>
      <w:spacing w:after="0" w:line="240" w:lineRule="auto"/>
    </w:pPr>
    <w:rPr>
      <w:color w:val="404040"/>
    </w:rPr>
    <w:tblPr/>
  </w:style>
  <w:style w:type="table" w:styleId="973" w:customStyle="1">
    <w:name w:val="Lined - Accent 5"/>
    <w:uiPriority w:val="99"/>
    <w:qFormat/>
    <w:pPr>
      <w:spacing w:after="0" w:line="240" w:lineRule="auto"/>
    </w:pPr>
    <w:rPr>
      <w:color w:val="404040"/>
    </w:rPr>
    <w:tblPr/>
  </w:style>
  <w:style w:type="table" w:styleId="974" w:customStyle="1">
    <w:name w:val="Lined - Accent 6"/>
    <w:uiPriority w:val="99"/>
    <w:qFormat/>
    <w:pPr>
      <w:spacing w:after="0" w:line="240" w:lineRule="auto"/>
    </w:pPr>
    <w:rPr>
      <w:color w:val="404040"/>
    </w:rPr>
    <w:tblPr/>
  </w:style>
  <w:style w:type="table" w:styleId="975" w:customStyle="1">
    <w:name w:val="Bordered &amp; Lined - Accent"/>
    <w:uiPriority w:val="99"/>
    <w:qFormat/>
    <w:pPr>
      <w:spacing w:after="0" w:line="240" w:lineRule="auto"/>
    </w:pPr>
    <w:rPr>
      <w:color w:val="404040"/>
    </w:rPr>
    <w:tblPr/>
  </w:style>
  <w:style w:type="table" w:styleId="976" w:customStyle="1">
    <w:name w:val="Bordered &amp; Lined - Accent 1"/>
    <w:uiPriority w:val="99"/>
    <w:qFormat/>
    <w:pPr>
      <w:spacing w:after="0" w:line="240" w:lineRule="auto"/>
    </w:pPr>
    <w:rPr>
      <w:color w:val="404040"/>
    </w:rPr>
    <w:tblPr/>
  </w:style>
  <w:style w:type="table" w:styleId="977" w:customStyle="1">
    <w:name w:val="Bordered &amp; Lined - Accent 2"/>
    <w:uiPriority w:val="99"/>
    <w:qFormat/>
    <w:pPr>
      <w:spacing w:after="0" w:line="240" w:lineRule="auto"/>
    </w:pPr>
    <w:rPr>
      <w:color w:val="404040"/>
    </w:rPr>
    <w:tblPr/>
  </w:style>
  <w:style w:type="table" w:styleId="978" w:customStyle="1">
    <w:name w:val="Bordered &amp; Lined - Accent 3"/>
    <w:uiPriority w:val="99"/>
    <w:qFormat/>
    <w:pPr>
      <w:spacing w:after="0" w:line="240" w:lineRule="auto"/>
    </w:pPr>
    <w:rPr>
      <w:color w:val="404040"/>
    </w:rPr>
    <w:tblPr/>
  </w:style>
  <w:style w:type="table" w:styleId="979" w:customStyle="1">
    <w:name w:val="Bordered &amp; Lined - Accent 4"/>
    <w:uiPriority w:val="99"/>
    <w:qFormat/>
    <w:pPr>
      <w:spacing w:after="0" w:line="240" w:lineRule="auto"/>
    </w:pPr>
    <w:rPr>
      <w:color w:val="404040"/>
    </w:rPr>
    <w:tblPr/>
  </w:style>
  <w:style w:type="table" w:styleId="980" w:customStyle="1">
    <w:name w:val="Bordered &amp; Lined - Accent 5"/>
    <w:uiPriority w:val="99"/>
    <w:qFormat/>
    <w:pPr>
      <w:spacing w:after="0" w:line="240" w:lineRule="auto"/>
    </w:pPr>
    <w:rPr>
      <w:color w:val="404040"/>
    </w:rPr>
    <w:tblPr/>
  </w:style>
  <w:style w:type="table" w:styleId="981" w:customStyle="1">
    <w:name w:val="Bordered &amp; Lined - Accent 6"/>
    <w:uiPriority w:val="99"/>
    <w:qFormat/>
    <w:pPr>
      <w:spacing w:after="0" w:line="240" w:lineRule="auto"/>
    </w:pPr>
    <w:rPr>
      <w:color w:val="404040"/>
    </w:rPr>
    <w:tblPr/>
  </w:style>
  <w:style w:type="table" w:styleId="982" w:customStyle="1">
    <w:name w:val="Bordered"/>
    <w:uiPriority w:val="99"/>
    <w:qFormat/>
    <w:pPr>
      <w:spacing w:after="0" w:line="240" w:lineRule="auto"/>
    </w:pPr>
    <w:tblPr/>
  </w:style>
  <w:style w:type="table" w:styleId="983" w:customStyle="1">
    <w:name w:val="Bordered - Accent 1"/>
    <w:uiPriority w:val="99"/>
    <w:qFormat/>
    <w:pPr>
      <w:spacing w:after="0" w:line="240" w:lineRule="auto"/>
    </w:pPr>
    <w:tblPr/>
  </w:style>
  <w:style w:type="table" w:styleId="984" w:customStyle="1">
    <w:name w:val="Bordered - Accent 2"/>
    <w:uiPriority w:val="99"/>
    <w:qFormat/>
    <w:pPr>
      <w:spacing w:after="0" w:line="240" w:lineRule="auto"/>
    </w:pPr>
    <w:tblPr/>
  </w:style>
  <w:style w:type="table" w:styleId="985" w:customStyle="1">
    <w:name w:val="Bordered - Accent 3"/>
    <w:uiPriority w:val="99"/>
    <w:qFormat/>
    <w:pPr>
      <w:spacing w:after="0" w:line="240" w:lineRule="auto"/>
    </w:pPr>
    <w:tblPr/>
  </w:style>
  <w:style w:type="table" w:styleId="986" w:customStyle="1">
    <w:name w:val="Bordered - Accent 4"/>
    <w:uiPriority w:val="99"/>
    <w:qFormat/>
    <w:pPr>
      <w:spacing w:after="0" w:line="240" w:lineRule="auto"/>
    </w:pPr>
    <w:tblPr/>
  </w:style>
  <w:style w:type="table" w:styleId="987" w:customStyle="1">
    <w:name w:val="Bordered - Accent 5"/>
    <w:uiPriority w:val="99"/>
    <w:qFormat/>
    <w:pPr>
      <w:spacing w:after="0" w:line="240" w:lineRule="auto"/>
    </w:pPr>
    <w:tblPr/>
  </w:style>
  <w:style w:type="table" w:styleId="988" w:customStyle="1">
    <w:name w:val="Bordered - Accent 6"/>
    <w:uiPriority w:val="99"/>
    <w:qFormat/>
    <w:pPr>
      <w:spacing w:after="0" w:line="240" w:lineRule="auto"/>
    </w:pPr>
    <w:tbl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标题 11"/>
    <w:basedOn w:val="766"/>
    <w:next w:val="766"/>
    <w:link w:val="991"/>
    <w:uiPriority w:val="0"/>
    <w:qFormat/>
    <w:pPr>
      <w:jc w:val="center"/>
      <w:keepLines/>
      <w:keepNext/>
      <w:spacing w:before="240" w:after="120" w:line="300" w:lineRule="auto"/>
      <w:outlineLvl w:val="0"/>
    </w:pPr>
    <w:rPr>
      <w:rFonts w:ascii="宋体"/>
      <w:b/>
      <w:sz w:val="32"/>
      <w:szCs w:val="20"/>
    </w:rPr>
  </w:style>
  <w:style w:type="character" w:styleId="991" w:customStyle="1">
    <w:name w:val="标题 1 字符"/>
    <w:link w:val="990"/>
    <w:uiPriority w:val="0"/>
    <w:qFormat/>
    <w:rPr>
      <w:rFonts w:ascii="宋体"/>
      <w:b/>
      <w:sz w:val="32"/>
    </w:rPr>
  </w:style>
  <w:style w:type="paragraph" w:styleId="992" w:customStyle="1">
    <w:name w:val="标题 21"/>
    <w:basedOn w:val="766"/>
    <w:next w:val="993"/>
    <w:link w:val="994"/>
    <w:uiPriority w:val="0"/>
    <w:qFormat/>
    <w:pPr>
      <w:jc w:val="center"/>
      <w:keepLines/>
      <w:keepNext/>
      <w:spacing w:before="120" w:line="300" w:lineRule="auto"/>
      <w:outlineLvl w:val="1"/>
    </w:pPr>
    <w:rPr>
      <w:rFonts w:ascii="Arial" w:hAnsi="Arial" w:eastAsia="黑体"/>
      <w:b/>
      <w:sz w:val="30"/>
      <w:szCs w:val="20"/>
    </w:rPr>
  </w:style>
  <w:style w:type="paragraph" w:styleId="993" w:customStyle="1">
    <w:name w:val="正文缩进11"/>
    <w:basedOn w:val="766"/>
    <w:link w:val="995"/>
    <w:uiPriority w:val="99"/>
    <w:qFormat/>
    <w:pPr>
      <w:ind w:firstLine="420"/>
      <w:jc w:val="left"/>
    </w:pPr>
    <w:rPr>
      <w:rFonts w:ascii="宋体"/>
      <w:sz w:val="24"/>
    </w:rPr>
  </w:style>
  <w:style w:type="character" w:styleId="994" w:customStyle="1">
    <w:name w:val="标题 2 字符"/>
    <w:link w:val="992"/>
    <w:uiPriority w:val="0"/>
    <w:qFormat/>
    <w:rPr>
      <w:rFonts w:ascii="Arial" w:hAnsi="Arial" w:eastAsia="黑体"/>
      <w:b/>
      <w:sz w:val="30"/>
      <w:lang w:val="en-US" w:eastAsia="zh-CN" w:bidi="ar-SA"/>
    </w:rPr>
  </w:style>
  <w:style w:type="character" w:styleId="995" w:customStyle="1">
    <w:name w:val="正文缩进 字符1"/>
    <w:link w:val="993"/>
    <w:uiPriority w:val="0"/>
    <w:qFormat/>
    <w:rPr>
      <w:rFonts w:ascii="宋体" w:eastAsia="宋体"/>
      <w:sz w:val="24"/>
      <w:szCs w:val="24"/>
      <w:lang w:val="en-US" w:eastAsia="zh-CN" w:bidi="ar-SA"/>
    </w:rPr>
  </w:style>
  <w:style w:type="paragraph" w:styleId="996" w:customStyle="1">
    <w:name w:val="标题 31"/>
    <w:basedOn w:val="766"/>
    <w:next w:val="993"/>
    <w:link w:val="997"/>
    <w:uiPriority w:val="0"/>
    <w:qFormat/>
    <w:pPr>
      <w:jc w:val="left"/>
      <w:keepLines/>
      <w:keepNext/>
      <w:spacing w:before="360" w:after="120"/>
      <w:outlineLvl w:val="2"/>
    </w:pPr>
    <w:rPr>
      <w:rFonts w:ascii="宋体"/>
      <w:b/>
      <w:sz w:val="24"/>
      <w:szCs w:val="20"/>
      <w:u w:val="single"/>
    </w:rPr>
  </w:style>
  <w:style w:type="character" w:styleId="997" w:customStyle="1">
    <w:name w:val="标题 3 字符"/>
    <w:link w:val="996"/>
    <w:uiPriority w:val="0"/>
    <w:qFormat/>
    <w:rPr>
      <w:rFonts w:ascii="宋体" w:eastAsia="宋体"/>
      <w:b/>
      <w:sz w:val="24"/>
      <w:u w:val="single"/>
      <w:lang w:val="en-US" w:eastAsia="zh-CN" w:bidi="ar-SA"/>
    </w:rPr>
  </w:style>
  <w:style w:type="paragraph" w:styleId="998" w:customStyle="1">
    <w:name w:val="标题 41"/>
    <w:basedOn w:val="766"/>
    <w:next w:val="766"/>
    <w:link w:val="999"/>
    <w:uiPriority w:val="0"/>
    <w:qFormat/>
    <w:pPr>
      <w:keepLines/>
      <w:keepNext/>
      <w:spacing w:before="280" w:after="290" w:line="376" w:lineRule="atLeast"/>
      <w:outlineLvl w:val="3"/>
    </w:pPr>
    <w:rPr>
      <w:rFonts w:ascii="Arial" w:hAnsi="Arial" w:eastAsia="黑体"/>
      <w:b/>
      <w:sz w:val="28"/>
      <w:szCs w:val="20"/>
    </w:rPr>
  </w:style>
  <w:style w:type="character" w:styleId="999" w:customStyle="1">
    <w:name w:val="标题 4 字符"/>
    <w:link w:val="998"/>
    <w:uiPriority w:val="0"/>
    <w:qFormat/>
    <w:rPr>
      <w:rFonts w:ascii="Arial" w:hAnsi="Arial" w:eastAsia="黑体"/>
      <w:b/>
      <w:sz w:val="28"/>
    </w:rPr>
  </w:style>
  <w:style w:type="paragraph" w:styleId="1000" w:customStyle="1">
    <w:name w:val="标题 51"/>
    <w:basedOn w:val="766"/>
    <w:next w:val="766"/>
    <w:link w:val="1001"/>
    <w:uiPriority w:val="0"/>
    <w:qFormat/>
    <w:pPr>
      <w:keepLines/>
      <w:keepNext/>
      <w:spacing w:before="280" w:after="290" w:line="376" w:lineRule="atLeast"/>
      <w:outlineLvl w:val="4"/>
    </w:pPr>
    <w:rPr>
      <w:b/>
      <w:sz w:val="28"/>
      <w:szCs w:val="20"/>
    </w:rPr>
  </w:style>
  <w:style w:type="character" w:styleId="1001" w:customStyle="1">
    <w:name w:val="标题 5 字符"/>
    <w:link w:val="1000"/>
    <w:uiPriority w:val="0"/>
    <w:qFormat/>
    <w:rPr>
      <w:b/>
      <w:sz w:val="28"/>
    </w:rPr>
  </w:style>
  <w:style w:type="paragraph" w:styleId="1002" w:customStyle="1">
    <w:name w:val="标题 61"/>
    <w:basedOn w:val="766"/>
    <w:next w:val="766"/>
    <w:link w:val="1003"/>
    <w:uiPriority w:val="0"/>
    <w:qFormat/>
    <w:pPr>
      <w:keepLines/>
      <w:keepNext/>
      <w:spacing w:before="240" w:after="64" w:line="320" w:lineRule="atLeast"/>
      <w:outlineLvl w:val="5"/>
    </w:pPr>
    <w:rPr>
      <w:rFonts w:ascii="Arial" w:hAnsi="Arial" w:eastAsia="黑体"/>
      <w:b/>
      <w:sz w:val="24"/>
      <w:szCs w:val="20"/>
    </w:rPr>
  </w:style>
  <w:style w:type="character" w:styleId="1003" w:customStyle="1">
    <w:name w:val="标题 6 字符"/>
    <w:link w:val="1002"/>
    <w:uiPriority w:val="0"/>
    <w:qFormat/>
    <w:rPr>
      <w:rFonts w:ascii="Arial" w:hAnsi="Arial" w:eastAsia="黑体"/>
      <w:b/>
      <w:sz w:val="24"/>
    </w:rPr>
  </w:style>
  <w:style w:type="paragraph" w:styleId="1004" w:customStyle="1">
    <w:name w:val="标题 71"/>
    <w:basedOn w:val="766"/>
    <w:next w:val="766"/>
    <w:link w:val="1005"/>
    <w:uiPriority w:val="0"/>
    <w:qFormat/>
    <w:pPr>
      <w:keepLines/>
      <w:keepNext/>
      <w:spacing w:before="240" w:after="64" w:line="320" w:lineRule="atLeast"/>
      <w:outlineLvl w:val="6"/>
    </w:pPr>
    <w:rPr>
      <w:b/>
      <w:sz w:val="24"/>
      <w:szCs w:val="20"/>
    </w:rPr>
  </w:style>
  <w:style w:type="character" w:styleId="1005" w:customStyle="1">
    <w:name w:val="标题 7 字符"/>
    <w:link w:val="1004"/>
    <w:uiPriority w:val="0"/>
    <w:qFormat/>
    <w:rPr>
      <w:b/>
      <w:sz w:val="24"/>
    </w:rPr>
  </w:style>
  <w:style w:type="paragraph" w:styleId="1006" w:customStyle="1">
    <w:name w:val="标题 81"/>
    <w:basedOn w:val="766"/>
    <w:next w:val="766"/>
    <w:link w:val="1007"/>
    <w:uiPriority w:val="0"/>
    <w:qFormat/>
    <w:pPr>
      <w:keepLines/>
      <w:keepNext/>
      <w:spacing w:before="240" w:after="64" w:line="320" w:lineRule="atLeast"/>
      <w:outlineLvl w:val="7"/>
    </w:pPr>
    <w:rPr>
      <w:rFonts w:ascii="Arial" w:hAnsi="Arial" w:eastAsia="黑体"/>
      <w:sz w:val="24"/>
      <w:szCs w:val="20"/>
    </w:rPr>
  </w:style>
  <w:style w:type="character" w:styleId="1007" w:customStyle="1">
    <w:name w:val="标题 8 字符"/>
    <w:link w:val="1006"/>
    <w:uiPriority w:val="0"/>
    <w:qFormat/>
    <w:rPr>
      <w:rFonts w:ascii="Arial" w:hAnsi="Arial" w:eastAsia="黑体"/>
      <w:sz w:val="24"/>
    </w:rPr>
  </w:style>
  <w:style w:type="paragraph" w:styleId="1008" w:customStyle="1">
    <w:name w:val="标题 91"/>
    <w:basedOn w:val="766"/>
    <w:next w:val="766"/>
    <w:link w:val="1009"/>
    <w:uiPriority w:val="0"/>
    <w:qFormat/>
    <w:pPr>
      <w:keepLines/>
      <w:keepNext/>
      <w:spacing w:before="240" w:after="64" w:line="320" w:lineRule="atLeast"/>
      <w:outlineLvl w:val="8"/>
    </w:pPr>
    <w:rPr>
      <w:rFonts w:ascii="Arial" w:hAnsi="Arial" w:eastAsia="黑体"/>
      <w:szCs w:val="20"/>
    </w:rPr>
  </w:style>
  <w:style w:type="character" w:styleId="1009" w:customStyle="1">
    <w:name w:val="标题 9 字符"/>
    <w:link w:val="1008"/>
    <w:uiPriority w:val="0"/>
    <w:qFormat/>
    <w:rPr>
      <w:rFonts w:ascii="Arial" w:hAnsi="Arial" w:eastAsia="黑体"/>
      <w:sz w:val="21"/>
    </w:rPr>
  </w:style>
  <w:style w:type="character" w:styleId="1010" w:customStyle="1">
    <w:name w:val="默认段落字体1"/>
    <w:link w:val="766"/>
    <w:uiPriority w:val="1"/>
    <w:unhideWhenUsed/>
    <w:qFormat/>
  </w:style>
  <w:style w:type="table" w:styleId="1011" w:customStyle="1">
    <w:name w:val="普通表格1"/>
    <w:uiPriority w:val="99"/>
    <w:unhideWhenUsed/>
    <w:qFormat/>
    <w:tblPr/>
  </w:style>
  <w:style w:type="paragraph" w:styleId="1012" w:customStyle="1">
    <w:name w:val="目录 71"/>
    <w:basedOn w:val="766"/>
    <w:next w:val="766"/>
    <w:uiPriority w:val="0"/>
    <w:qFormat/>
    <w:pPr>
      <w:ind w:left="2520"/>
    </w:pPr>
  </w:style>
  <w:style w:type="paragraph" w:styleId="1013" w:customStyle="1">
    <w:name w:val="题注1"/>
    <w:basedOn w:val="766"/>
    <w:next w:val="766"/>
    <w:uiPriority w:val="0"/>
    <w:qFormat/>
    <w:pPr>
      <w:spacing w:line="480" w:lineRule="auto"/>
    </w:pPr>
    <w:rPr>
      <w:rFonts w:ascii="华文中宋" w:hAnsi="华文中宋" w:eastAsia="华文中宋"/>
      <w:sz w:val="36"/>
      <w:szCs w:val="20"/>
    </w:rPr>
  </w:style>
  <w:style w:type="paragraph" w:styleId="1014" w:customStyle="1">
    <w:name w:val="文档结构图1"/>
    <w:basedOn w:val="766"/>
    <w:link w:val="1015"/>
    <w:uiPriority w:val="0"/>
    <w:qFormat/>
    <w:pPr>
      <w:shd w:val="clear" w:color="auto" w:fill="000080"/>
    </w:pPr>
  </w:style>
  <w:style w:type="character" w:styleId="1015" w:customStyle="1">
    <w:name w:val="文档结构图 字符"/>
    <w:link w:val="1014"/>
    <w:uiPriority w:val="0"/>
    <w:qFormat/>
    <w:rPr>
      <w:sz w:val="21"/>
      <w:szCs w:val="24"/>
      <w:shd w:val="clear" w:color="auto" w:fill="000080"/>
    </w:rPr>
  </w:style>
  <w:style w:type="paragraph" w:styleId="1016" w:customStyle="1">
    <w:name w:val="批注文字1"/>
    <w:basedOn w:val="766"/>
    <w:link w:val="1017"/>
    <w:uiPriority w:val="99"/>
    <w:qFormat/>
    <w:pPr>
      <w:jc w:val="left"/>
    </w:pPr>
  </w:style>
  <w:style w:type="character" w:styleId="1017" w:customStyle="1">
    <w:name w:val="批注文字 字符1"/>
    <w:link w:val="1016"/>
    <w:uiPriority w:val="99"/>
    <w:qFormat/>
    <w:rPr>
      <w:sz w:val="21"/>
      <w:szCs w:val="24"/>
    </w:rPr>
  </w:style>
  <w:style w:type="paragraph" w:styleId="1018" w:customStyle="1">
    <w:name w:val="正文文本 31"/>
    <w:basedOn w:val="766"/>
    <w:link w:val="1019"/>
    <w:uiPriority w:val="0"/>
    <w:qFormat/>
    <w:pPr>
      <w:spacing w:after="120"/>
    </w:pPr>
    <w:rPr>
      <w:sz w:val="16"/>
      <w:szCs w:val="16"/>
    </w:rPr>
  </w:style>
  <w:style w:type="character" w:styleId="1019" w:customStyle="1">
    <w:name w:val="正文文本 3 字符"/>
    <w:link w:val="1018"/>
    <w:uiPriority w:val="0"/>
    <w:qFormat/>
    <w:rPr>
      <w:sz w:val="16"/>
      <w:szCs w:val="16"/>
    </w:rPr>
  </w:style>
  <w:style w:type="paragraph" w:styleId="1020" w:customStyle="1">
    <w:name w:val="正文文本1"/>
    <w:basedOn w:val="766"/>
    <w:link w:val="1021"/>
    <w:uiPriority w:val="0"/>
    <w:qFormat/>
    <w:pPr>
      <w:spacing w:before="120" w:line="22" w:lineRule="atLeast"/>
      <w:tabs>
        <w:tab w:val="left" w:pos="567" w:leader="none"/>
      </w:tabs>
    </w:pPr>
    <w:rPr>
      <w:rFonts w:ascii="宋体" w:hAnsi="宋体"/>
      <w:sz w:val="24"/>
    </w:rPr>
  </w:style>
  <w:style w:type="character" w:styleId="1021" w:customStyle="1">
    <w:name w:val="正文文本 字符1"/>
    <w:link w:val="1020"/>
    <w:uiPriority w:val="0"/>
    <w:qFormat/>
    <w:rPr>
      <w:rFonts w:ascii="宋体" w:hAnsi="宋体"/>
      <w:sz w:val="24"/>
      <w:szCs w:val="24"/>
    </w:rPr>
  </w:style>
  <w:style w:type="paragraph" w:styleId="1022" w:customStyle="1">
    <w:name w:val="正文文本缩进11"/>
    <w:basedOn w:val="766"/>
    <w:link w:val="1023"/>
    <w:uiPriority w:val="0"/>
    <w:qFormat/>
    <w:pPr>
      <w:ind w:firstLine="570"/>
      <w:spacing w:line="360" w:lineRule="auto"/>
    </w:pPr>
    <w:rPr>
      <w:sz w:val="24"/>
    </w:rPr>
  </w:style>
  <w:style w:type="character" w:styleId="1023" w:customStyle="1">
    <w:name w:val="正文文本缩进 字符"/>
    <w:link w:val="1022"/>
    <w:uiPriority w:val="0"/>
    <w:qFormat/>
    <w:rPr>
      <w:rFonts w:eastAsia="宋体"/>
      <w:sz w:val="24"/>
      <w:szCs w:val="24"/>
      <w:lang w:val="en-US" w:eastAsia="zh-CN" w:bidi="ar-SA"/>
    </w:rPr>
  </w:style>
  <w:style w:type="paragraph" w:styleId="1024" w:customStyle="1">
    <w:name w:val="列表 21"/>
    <w:basedOn w:val="766"/>
    <w:uiPriority w:val="0"/>
    <w:qFormat/>
    <w:pPr>
      <w:ind w:left="100" w:hanging="200"/>
    </w:pPr>
  </w:style>
  <w:style w:type="paragraph" w:styleId="1025" w:customStyle="1">
    <w:name w:val="文本块1"/>
    <w:basedOn w:val="766"/>
    <w:uiPriority w:val="0"/>
    <w:qFormat/>
    <w:pPr>
      <w:ind w:left="480" w:right="-341" w:firstLine="513"/>
      <w:widowControl/>
    </w:pPr>
    <w:rPr>
      <w:sz w:val="24"/>
      <w:szCs w:val="20"/>
    </w:rPr>
  </w:style>
  <w:style w:type="paragraph" w:styleId="1026" w:customStyle="1">
    <w:name w:val="目录 51"/>
    <w:basedOn w:val="766"/>
    <w:next w:val="766"/>
    <w:uiPriority w:val="0"/>
    <w:qFormat/>
    <w:pPr>
      <w:ind w:left="1680"/>
    </w:pPr>
  </w:style>
  <w:style w:type="paragraph" w:styleId="1027" w:customStyle="1">
    <w:name w:val="目录 31"/>
    <w:basedOn w:val="766"/>
    <w:next w:val="766"/>
    <w:uiPriority w:val="39"/>
    <w:qFormat/>
    <w:pPr>
      <w:ind w:left="840"/>
    </w:pPr>
  </w:style>
  <w:style w:type="paragraph" w:styleId="1028" w:customStyle="1">
    <w:name w:val="纯文本11"/>
    <w:basedOn w:val="766"/>
    <w:link w:val="1029"/>
    <w:uiPriority w:val="99"/>
    <w:qFormat/>
    <w:rPr>
      <w:rFonts w:hint="eastAsia" w:ascii="宋体" w:hAnsi="Courier New"/>
      <w:szCs w:val="20"/>
    </w:rPr>
  </w:style>
  <w:style w:type="character" w:styleId="1029" w:customStyle="1">
    <w:name w:val="纯文本 字符2"/>
    <w:link w:val="1028"/>
    <w:uiPriority w:val="0"/>
    <w:qFormat/>
    <w:rPr>
      <w:rFonts w:hint="eastAsia" w:ascii="宋体" w:hAnsi="Courier New" w:eastAsia="宋体" w:cs="宋体"/>
      <w:sz w:val="21"/>
    </w:rPr>
  </w:style>
  <w:style w:type="paragraph" w:styleId="1030" w:customStyle="1">
    <w:name w:val="目录 81"/>
    <w:basedOn w:val="766"/>
    <w:next w:val="766"/>
    <w:uiPriority w:val="0"/>
    <w:qFormat/>
    <w:pPr>
      <w:ind w:left="2940"/>
    </w:pPr>
  </w:style>
  <w:style w:type="paragraph" w:styleId="1031" w:customStyle="1">
    <w:name w:val="日期1"/>
    <w:basedOn w:val="766"/>
    <w:next w:val="766"/>
    <w:link w:val="1032"/>
    <w:uiPriority w:val="0"/>
    <w:qFormat/>
    <w:pPr>
      <w:ind w:left="100"/>
    </w:pPr>
    <w:rPr>
      <w:rFonts w:ascii="仿宋_GB2312" w:hAnsi="宋体" w:eastAsia="仿宋_GB2312"/>
      <w:color w:val="000000"/>
      <w:sz w:val="24"/>
    </w:rPr>
  </w:style>
  <w:style w:type="character" w:styleId="1032" w:customStyle="1">
    <w:name w:val="日期 字符"/>
    <w:link w:val="1031"/>
    <w:uiPriority w:val="0"/>
    <w:qFormat/>
    <w:rPr>
      <w:rFonts w:ascii="仿宋_GB2312" w:hAnsi="宋体" w:eastAsia="仿宋_GB2312"/>
      <w:color w:val="000000"/>
      <w:sz w:val="24"/>
      <w:szCs w:val="24"/>
    </w:rPr>
  </w:style>
  <w:style w:type="paragraph" w:styleId="1033" w:customStyle="1">
    <w:name w:val="正文文本缩进 21"/>
    <w:basedOn w:val="766"/>
    <w:link w:val="1034"/>
    <w:uiPriority w:val="0"/>
    <w:qFormat/>
    <w:pPr>
      <w:ind w:firstLine="480"/>
    </w:pPr>
    <w:rPr>
      <w:rFonts w:ascii="仿宋_GB2312" w:eastAsia="仿宋_GB2312"/>
      <w:sz w:val="24"/>
    </w:rPr>
  </w:style>
  <w:style w:type="character" w:styleId="1034" w:customStyle="1">
    <w:name w:val="正文文本缩进 2 字符"/>
    <w:link w:val="1033"/>
    <w:uiPriority w:val="0"/>
    <w:qFormat/>
    <w:rPr>
      <w:rFonts w:ascii="仿宋_GB2312" w:eastAsia="仿宋_GB2312"/>
      <w:sz w:val="24"/>
      <w:szCs w:val="24"/>
    </w:rPr>
  </w:style>
  <w:style w:type="paragraph" w:styleId="1035" w:customStyle="1">
    <w:name w:val="批注框文本1"/>
    <w:basedOn w:val="766"/>
    <w:link w:val="1036"/>
    <w:uiPriority w:val="0"/>
    <w:qFormat/>
    <w:rPr>
      <w:sz w:val="18"/>
      <w:szCs w:val="18"/>
    </w:rPr>
  </w:style>
  <w:style w:type="character" w:styleId="1036" w:customStyle="1">
    <w:name w:val="批注框文本 字符"/>
    <w:link w:val="1035"/>
    <w:uiPriority w:val="0"/>
    <w:qFormat/>
    <w:rPr>
      <w:sz w:val="18"/>
      <w:szCs w:val="18"/>
    </w:rPr>
  </w:style>
  <w:style w:type="paragraph" w:styleId="1037" w:customStyle="1">
    <w:name w:val="页脚1"/>
    <w:basedOn w:val="766"/>
    <w:link w:val="1038"/>
    <w:uiPriority w:val="99"/>
    <w:qFormat/>
    <w:pPr>
      <w:jc w:val="left"/>
      <w:tabs>
        <w:tab w:val="center" w:pos="4153" w:leader="none"/>
        <w:tab w:val="right" w:pos="8306" w:leader="none"/>
      </w:tabs>
    </w:pPr>
    <w:rPr>
      <w:rFonts w:ascii="宋体"/>
      <w:sz w:val="18"/>
      <w:szCs w:val="20"/>
    </w:rPr>
  </w:style>
  <w:style w:type="character" w:styleId="1038" w:customStyle="1">
    <w:name w:val="页脚 字符"/>
    <w:link w:val="1037"/>
    <w:uiPriority w:val="99"/>
    <w:qFormat/>
    <w:rPr>
      <w:rFonts w:ascii="宋体" w:eastAsia="宋体"/>
      <w:sz w:val="18"/>
      <w:lang w:val="en-US" w:eastAsia="zh-CN" w:bidi="ar-SA"/>
    </w:rPr>
  </w:style>
  <w:style w:type="paragraph" w:styleId="1039" w:customStyle="1">
    <w:name w:val="页眉1"/>
    <w:basedOn w:val="766"/>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字符"/>
    <w:link w:val="1039"/>
    <w:uiPriority w:val="0"/>
    <w:qFormat/>
    <w:rPr>
      <w:rFonts w:eastAsia="宋体"/>
      <w:sz w:val="18"/>
      <w:szCs w:val="18"/>
      <w:lang w:val="en-US" w:eastAsia="zh-CN" w:bidi="ar-SA"/>
    </w:rPr>
  </w:style>
  <w:style w:type="paragraph" w:styleId="1041" w:customStyle="1">
    <w:name w:val="目录 11"/>
    <w:basedOn w:val="766"/>
    <w:next w:val="766"/>
    <w:uiPriority w:val="39"/>
    <w:qFormat/>
    <w:pPr>
      <w:spacing w:line="300" w:lineRule="auto"/>
      <w:tabs>
        <w:tab w:val="left" w:pos="1050" w:leader="none"/>
        <w:tab w:val="right" w:pos="8937" w:leader="dot"/>
      </w:tabs>
    </w:pPr>
    <w:rPr>
      <w:rFonts w:ascii="宋体" w:hAnsi="宋体"/>
      <w:b/>
      <w:sz w:val="24"/>
    </w:rPr>
  </w:style>
  <w:style w:type="paragraph" w:styleId="1042" w:customStyle="1">
    <w:name w:val="目录 41"/>
    <w:basedOn w:val="766"/>
    <w:next w:val="766"/>
    <w:uiPriority w:val="0"/>
    <w:qFormat/>
    <w:pPr>
      <w:ind w:left="1260"/>
    </w:pPr>
  </w:style>
  <w:style w:type="paragraph" w:styleId="1043" w:customStyle="1">
    <w:name w:val="目录 61"/>
    <w:basedOn w:val="766"/>
    <w:next w:val="766"/>
    <w:uiPriority w:val="0"/>
    <w:qFormat/>
    <w:pPr>
      <w:ind w:left="2100"/>
    </w:pPr>
  </w:style>
  <w:style w:type="paragraph" w:styleId="1044" w:customStyle="1">
    <w:name w:val="正文文本缩进 31"/>
    <w:basedOn w:val="766"/>
    <w:link w:val="1045"/>
    <w:uiPriority w:val="0"/>
    <w:qFormat/>
    <w:pPr>
      <w:ind w:left="720" w:firstLine="480"/>
      <w:jc w:val="left"/>
      <w:spacing w:before="120" w:line="22" w:lineRule="atLeast"/>
    </w:pPr>
    <w:rPr>
      <w:rFonts w:ascii="宋体"/>
      <w:sz w:val="24"/>
      <w:szCs w:val="20"/>
    </w:rPr>
  </w:style>
  <w:style w:type="character" w:styleId="1045" w:customStyle="1">
    <w:name w:val="正文文本缩进 3 字符"/>
    <w:link w:val="1044"/>
    <w:uiPriority w:val="0"/>
    <w:qFormat/>
    <w:rPr>
      <w:rFonts w:ascii="宋体"/>
      <w:sz w:val="24"/>
    </w:rPr>
  </w:style>
  <w:style w:type="paragraph" w:styleId="1046" w:customStyle="1">
    <w:name w:val="目录 21"/>
    <w:basedOn w:val="766"/>
    <w:next w:val="766"/>
    <w:uiPriority w:val="39"/>
    <w:qFormat/>
    <w:pPr>
      <w:ind w:left="420"/>
      <w:spacing w:line="312" w:lineRule="auto"/>
      <w:tabs>
        <w:tab w:val="right" w:pos="8937" w:leader="dot"/>
      </w:tabs>
    </w:pPr>
  </w:style>
  <w:style w:type="paragraph" w:styleId="1047" w:customStyle="1">
    <w:name w:val="目录 91"/>
    <w:basedOn w:val="766"/>
    <w:next w:val="766"/>
    <w:uiPriority w:val="0"/>
    <w:qFormat/>
    <w:pPr>
      <w:ind w:left="3360"/>
    </w:pPr>
  </w:style>
  <w:style w:type="paragraph" w:styleId="1048" w:customStyle="1">
    <w:name w:val="HTML 预设格式1"/>
    <w:basedOn w:val="766"/>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9" w:customStyle="1">
    <w:name w:val="HTML 预设格式 字符"/>
    <w:link w:val="1048"/>
    <w:uiPriority w:val="0"/>
    <w:qFormat/>
    <w:rPr>
      <w:rFonts w:ascii="宋体" w:hAnsi="宋体" w:cs="宋体"/>
      <w:sz w:val="24"/>
      <w:szCs w:val="24"/>
    </w:rPr>
  </w:style>
  <w:style w:type="paragraph" w:styleId="1050" w:customStyle="1">
    <w:name w:val="普通(网站)1"/>
    <w:basedOn w:val="766"/>
    <w:uiPriority w:val="99"/>
    <w:unhideWhenUsed/>
    <w:qFormat/>
    <w:pPr>
      <w:jc w:val="left"/>
      <w:spacing w:before="100" w:beforeAutospacing="1" w:after="100" w:afterAutospacing="1"/>
      <w:widowControl/>
    </w:pPr>
    <w:rPr>
      <w:rFonts w:ascii="宋体" w:hAnsi="宋体" w:cs="宋体"/>
      <w:sz w:val="24"/>
    </w:rPr>
  </w:style>
  <w:style w:type="paragraph" w:styleId="1051" w:customStyle="1">
    <w:name w:val="索引 11"/>
    <w:basedOn w:val="766"/>
    <w:next w:val="766"/>
    <w:uiPriority w:val="0"/>
    <w:qFormat/>
    <w:rPr>
      <w:szCs w:val="20"/>
    </w:rPr>
  </w:style>
  <w:style w:type="paragraph" w:styleId="1052" w:customStyle="1">
    <w:name w:val="标题1"/>
    <w:basedOn w:val="766"/>
    <w:link w:val="1053"/>
    <w:uiPriority w:val="0"/>
    <w:qFormat/>
    <w:pPr>
      <w:jc w:val="center"/>
      <w:outlineLvl w:val="0"/>
    </w:pPr>
    <w:rPr>
      <w:b/>
      <w:sz w:val="32"/>
      <w:szCs w:val="20"/>
    </w:rPr>
  </w:style>
  <w:style w:type="character" w:styleId="1053" w:customStyle="1">
    <w:name w:val="标题 字符"/>
    <w:link w:val="1052"/>
    <w:uiPriority w:val="0"/>
    <w:qFormat/>
    <w:rPr>
      <w:b/>
      <w:sz w:val="32"/>
    </w:rPr>
  </w:style>
  <w:style w:type="paragraph" w:styleId="1054" w:customStyle="1">
    <w:name w:val="批注主题1"/>
    <w:basedOn w:val="1016"/>
    <w:next w:val="1016"/>
    <w:link w:val="1055"/>
    <w:uiPriority w:val="0"/>
    <w:qFormat/>
    <w:rPr>
      <w:b/>
      <w:bCs/>
    </w:rPr>
  </w:style>
  <w:style w:type="character" w:styleId="1055" w:customStyle="1">
    <w:name w:val="批注主题 字符"/>
    <w:link w:val="1054"/>
    <w:uiPriority w:val="0"/>
    <w:qFormat/>
    <w:rPr>
      <w:rFonts w:ascii="Times New Roman" w:hAnsi="Times New Roman" w:eastAsia="宋体" w:cs="Times New Roman"/>
      <w:b/>
      <w:bCs/>
      <w:sz w:val="21"/>
      <w:szCs w:val="24"/>
      <w:lang w:val="en-US" w:eastAsia="zh-CN" w:bidi="ar-SA"/>
    </w:rPr>
  </w:style>
  <w:style w:type="paragraph" w:styleId="1056" w:customStyle="1">
    <w:name w:val="正文首行缩进 21"/>
    <w:basedOn w:val="1022"/>
    <w:link w:val="1057"/>
    <w:uiPriority w:val="0"/>
    <w:qFormat/>
    <w:pPr>
      <w:ind w:left="420" w:firstLine="420"/>
      <w:spacing w:after="120" w:line="480" w:lineRule="exact"/>
    </w:pPr>
    <w:rPr>
      <w:szCs w:val="20"/>
    </w:rPr>
  </w:style>
  <w:style w:type="character" w:styleId="1057" w:customStyle="1">
    <w:name w:val="正文首行缩进 2 字符"/>
    <w:link w:val="1056"/>
    <w:uiPriority w:val="0"/>
    <w:qFormat/>
    <w:rPr>
      <w:rFonts w:eastAsia="宋体"/>
      <w:sz w:val="24"/>
      <w:szCs w:val="24"/>
      <w:lang w:val="en-US" w:eastAsia="zh-CN" w:bidi="ar-SA"/>
    </w:rPr>
  </w:style>
  <w:style w:type="table" w:styleId="1058" w:customStyle="1">
    <w:name w:val="网格型1"/>
    <w:basedOn w:val="1011"/>
    <w:uiPriority w:val="39"/>
    <w:qFormat/>
    <w:tblPr/>
  </w:style>
  <w:style w:type="table" w:styleId="1059" w:customStyle="1">
    <w:name w:val="中等深浅网格 1 - 着色 2"/>
    <w:basedOn w:val="1011"/>
    <w:uiPriority w:val="0"/>
    <w:qFormat/>
    <w:rPr>
      <w:sz w:val="21"/>
      <w:szCs w:val="24"/>
    </w:rPr>
    <w:tblPr/>
  </w:style>
  <w:style w:type="character" w:styleId="1060" w:customStyle="1">
    <w:name w:val="要点1"/>
    <w:link w:val="766"/>
    <w:uiPriority w:val="0"/>
    <w:qFormat/>
    <w:rPr>
      <w:b/>
      <w:bCs/>
    </w:rPr>
  </w:style>
  <w:style w:type="character" w:styleId="1061" w:customStyle="1">
    <w:name w:val="页码1"/>
    <w:link w:val="766"/>
    <w:uiPriority w:val="0"/>
    <w:qFormat/>
  </w:style>
  <w:style w:type="character" w:styleId="1062" w:customStyle="1">
    <w:name w:val="访问过的超链接"/>
    <w:link w:val="766"/>
    <w:uiPriority w:val="0"/>
    <w:qFormat/>
    <w:rPr>
      <w:color w:val="800080"/>
      <w:u w:val="single"/>
    </w:rPr>
  </w:style>
  <w:style w:type="character" w:styleId="1063" w:customStyle="1">
    <w:name w:val="强调1"/>
    <w:link w:val="766"/>
    <w:uiPriority w:val="0"/>
    <w:qFormat/>
    <w:rPr>
      <w:color w:val="cc0033"/>
    </w:rPr>
  </w:style>
  <w:style w:type="character" w:styleId="1064" w:customStyle="1">
    <w:name w:val="超链接1"/>
    <w:link w:val="766"/>
    <w:uiPriority w:val="99"/>
    <w:qFormat/>
    <w:rPr>
      <w:color w:val="0000ff"/>
      <w:u w:val="single"/>
    </w:rPr>
  </w:style>
  <w:style w:type="character" w:styleId="1065" w:customStyle="1">
    <w:name w:val="批注引用1"/>
    <w:link w:val="766"/>
    <w:uiPriority w:val="99"/>
    <w:qFormat/>
    <w:rPr>
      <w:sz w:val="21"/>
      <w:szCs w:val="21"/>
    </w:rPr>
  </w:style>
  <w:style w:type="character" w:styleId="1066" w:customStyle="1">
    <w:name w:val="HTML 引文1"/>
    <w:link w:val="766"/>
    <w:uiPriority w:val="0"/>
    <w:qFormat/>
    <w:rPr>
      <w:i/>
      <w:iCs/>
    </w:rPr>
  </w:style>
  <w:style w:type="character" w:styleId="1067" w:customStyle="1">
    <w:name w:val="批注文字 字符"/>
    <w:link w:val="766"/>
    <w:uiPriority w:val="99"/>
    <w:qFormat/>
    <w:rPr>
      <w:rFonts w:ascii="Times New Roman" w:hAnsi="Times New Roman" w:eastAsia="宋体" w:cs="Times New Roman"/>
      <w:sz w:val="24"/>
      <w:lang w:val="en-US" w:eastAsia="zh-CN" w:bidi="ar-SA"/>
    </w:rPr>
  </w:style>
  <w:style w:type="character" w:styleId="1068" w:customStyle="1">
    <w:name w:val="c21"/>
    <w:link w:val="766"/>
    <w:uiPriority w:val="0"/>
    <w:qFormat/>
    <w:rPr>
      <w:rFonts w:ascii="ˎ̥" w:hAnsi="ˎ̥"/>
      <w:color w:val="000000"/>
      <w:sz w:val="20"/>
      <w:szCs w:val="20"/>
      <w:u w:val="none"/>
    </w:rPr>
  </w:style>
  <w:style w:type="character" w:styleId="1069" w:customStyle="1">
    <w:name w:val="title4"/>
    <w:link w:val="766"/>
    <w:uiPriority w:val="0"/>
    <w:qFormat/>
    <w:rPr>
      <w:b/>
      <w:bCs/>
      <w:color w:val="1d87b3"/>
      <w:sz w:val="15"/>
      <w:szCs w:val="15"/>
    </w:rPr>
  </w:style>
  <w:style w:type="character" w:styleId="1070" w:customStyle="1">
    <w:name w:val="标题 2 Char Char"/>
    <w:link w:val="766"/>
    <w:uiPriority w:val="0"/>
    <w:qFormat/>
    <w:rPr>
      <w:rFonts w:ascii="Arial" w:hAnsi="Arial" w:eastAsia="黑体"/>
      <w:b/>
      <w:bCs/>
      <w:sz w:val="32"/>
      <w:szCs w:val="32"/>
      <w:lang w:val="en-US" w:eastAsia="zh-CN" w:bidi="ar-SA"/>
    </w:rPr>
  </w:style>
  <w:style w:type="character" w:styleId="1071" w:customStyle="1">
    <w:name w:val="black1"/>
    <w:link w:val="766"/>
    <w:uiPriority w:val="0"/>
    <w:qFormat/>
    <w:rPr>
      <w:color w:val="000000"/>
    </w:rPr>
  </w:style>
  <w:style w:type="character" w:styleId="1072" w:customStyle="1">
    <w:name w:val="street-address"/>
    <w:link w:val="766"/>
    <w:uiPriority w:val="0"/>
    <w:qFormat/>
  </w:style>
  <w:style w:type="character" w:styleId="1073" w:customStyle="1">
    <w:name w:val="locality"/>
    <w:link w:val="766"/>
    <w:uiPriority w:val="0"/>
    <w:qFormat/>
  </w:style>
  <w:style w:type="character" w:styleId="1074" w:customStyle="1">
    <w:name w:val="正文文本缩进 Char1"/>
    <w:link w:val="1075"/>
    <w:uiPriority w:val="0"/>
    <w:qFormat/>
    <w:rPr>
      <w:rFonts w:ascii="宋体" w:hAnsi="宋体" w:eastAsia="宋体"/>
      <w:sz w:val="24"/>
      <w:szCs w:val="24"/>
      <w:lang w:bidi="ar-SA"/>
    </w:rPr>
  </w:style>
  <w:style w:type="paragraph" w:styleId="1075" w:customStyle="1">
    <w:name w:val="正文文本缩进1"/>
    <w:basedOn w:val="766"/>
    <w:link w:val="1074"/>
    <w:uiPriority w:val="0"/>
    <w:qFormat/>
    <w:pPr>
      <w:ind w:firstLine="480"/>
      <w:spacing w:line="480" w:lineRule="exact"/>
    </w:pPr>
    <w:rPr>
      <w:rFonts w:ascii="宋体" w:hAnsi="宋体"/>
      <w:sz w:val="24"/>
    </w:rPr>
  </w:style>
  <w:style w:type="character" w:styleId="1076" w:customStyle="1">
    <w:name w:val="Char Char11"/>
    <w:link w:val="766"/>
    <w:uiPriority w:val="0"/>
    <w:qFormat/>
    <w:rPr>
      <w:rFonts w:ascii="宋体" w:eastAsia="宋体"/>
      <w:b/>
      <w:sz w:val="24"/>
      <w:u w:val="single"/>
      <w:lang w:val="en-US" w:eastAsia="zh-CN" w:bidi="ar-SA"/>
    </w:rPr>
  </w:style>
  <w:style w:type="character" w:styleId="1077" w:customStyle="1">
    <w:name w:val="txt"/>
    <w:link w:val="766"/>
    <w:uiPriority w:val="0"/>
    <w:qFormat/>
  </w:style>
  <w:style w:type="character" w:styleId="1078" w:customStyle="1">
    <w:name w:val="正文缩进 Char Char"/>
    <w:link w:val="1079"/>
    <w:uiPriority w:val="0"/>
    <w:qFormat/>
    <w:rPr>
      <w:rFonts w:ascii="宋体" w:eastAsia="宋体"/>
      <w:color w:val="000000"/>
      <w:sz w:val="28"/>
      <w:lang w:bidi="ar-SA"/>
    </w:rPr>
  </w:style>
  <w:style w:type="paragraph" w:styleId="1079" w:customStyle="1">
    <w:name w:val="正文缩进1"/>
    <w:basedOn w:val="766"/>
    <w:link w:val="1078"/>
    <w:uiPriority w:val="0"/>
    <w:qFormat/>
    <w:pPr>
      <w:ind w:firstLine="567"/>
      <w:spacing w:line="480" w:lineRule="exact"/>
      <w:widowControl/>
    </w:pPr>
    <w:rPr>
      <w:rFonts w:ascii="宋体"/>
      <w:color w:val="000000"/>
      <w:sz w:val="28"/>
      <w:szCs w:val="20"/>
    </w:rPr>
  </w:style>
  <w:style w:type="character" w:styleId="1080" w:customStyle="1">
    <w:name w:val="普通文字1 Char1"/>
    <w:link w:val="766"/>
    <w:uiPriority w:val="0"/>
    <w:qFormat/>
    <w:rPr>
      <w:rFonts w:ascii="宋体" w:hAnsi="Courier New" w:eastAsia="宋体"/>
      <w:sz w:val="21"/>
      <w:lang w:val="en-US" w:eastAsia="zh-CN" w:bidi="ar-SA"/>
    </w:rPr>
  </w:style>
  <w:style w:type="character" w:styleId="1081" w:customStyle="1">
    <w:name w:val="chanpin1"/>
    <w:link w:val="766"/>
    <w:uiPriority w:val="0"/>
    <w:qFormat/>
    <w:rPr>
      <w:rFonts w:ascii="ˎ̥" w:hAnsi="ˎ̥"/>
      <w:color w:val="000000"/>
      <w:sz w:val="20"/>
      <w:szCs w:val="20"/>
      <w:u w:val="none"/>
    </w:rPr>
  </w:style>
  <w:style w:type="character" w:styleId="1082" w:customStyle="1">
    <w:name w:val="列出段落 字符"/>
    <w:link w:val="1083"/>
    <w:uiPriority w:val="34"/>
    <w:qFormat/>
    <w:rPr>
      <w:rFonts w:ascii="Calibri" w:hAnsi="Calibri" w:eastAsia="宋体"/>
      <w:sz w:val="21"/>
      <w:szCs w:val="22"/>
      <w:lang w:val="en-US" w:eastAsia="zh-CN" w:bidi="ar-SA"/>
    </w:rPr>
  </w:style>
  <w:style w:type="paragraph" w:styleId="1083" w:customStyle="1">
    <w:name w:val="列出段落"/>
    <w:basedOn w:val="766"/>
    <w:link w:val="1082"/>
    <w:uiPriority w:val="34"/>
    <w:qFormat/>
    <w:pPr>
      <w:ind w:firstLine="420"/>
    </w:pPr>
    <w:rPr>
      <w:rFonts w:ascii="Calibri" w:hAnsi="Calibri"/>
      <w:szCs w:val="22"/>
    </w:rPr>
  </w:style>
  <w:style w:type="character" w:styleId="1084" w:customStyle="1">
    <w:name w:val="标题 3 Char Char"/>
    <w:link w:val="766"/>
    <w:uiPriority w:val="0"/>
    <w:qFormat/>
    <w:rPr>
      <w:rFonts w:eastAsia="宋体"/>
      <w:b/>
      <w:bCs/>
      <w:sz w:val="32"/>
      <w:szCs w:val="32"/>
      <w:lang w:val="en-US" w:eastAsia="zh-CN" w:bidi="ar-SA"/>
    </w:rPr>
  </w:style>
  <w:style w:type="character" w:styleId="1085" w:customStyle="1">
    <w:name w:val="段1 Char"/>
    <w:link w:val="766"/>
    <w:uiPriority w:val="0"/>
    <w:qFormat/>
    <w:rPr>
      <w:rFonts w:ascii="宋体" w:eastAsia="宋体"/>
      <w:sz w:val="24"/>
      <w:lang w:val="en-US" w:eastAsia="zh-CN" w:bidi="ar-SA"/>
    </w:rPr>
  </w:style>
  <w:style w:type="character" w:styleId="1086" w:customStyle="1">
    <w:name w:val="chanpin拷贝"/>
    <w:link w:val="766"/>
    <w:uiPriority w:val="0"/>
    <w:qFormat/>
  </w:style>
  <w:style w:type="character" w:styleId="1087" w:customStyle="1">
    <w:name w:val="纯文本 Char1"/>
    <w:link w:val="766"/>
    <w:uiPriority w:val="99"/>
    <w:qFormat/>
    <w:rPr>
      <w:rFonts w:ascii="宋体" w:hAnsi="Courier New" w:eastAsia="宋体"/>
      <w:sz w:val="21"/>
      <w:lang w:val="en-US" w:eastAsia="zh-CN" w:bidi="ar-SA"/>
    </w:rPr>
  </w:style>
  <w:style w:type="character" w:styleId="1088" w:customStyle="1">
    <w:name w:val="apple-style-span"/>
    <w:link w:val="766"/>
    <w:uiPriority w:val="0"/>
    <w:qFormat/>
    <w:rPr>
      <w:rFonts w:cs="Times New Roman"/>
    </w:rPr>
  </w:style>
  <w:style w:type="paragraph" w:styleId="1089" w:customStyle="1">
    <w:name w:val="二级条标题"/>
    <w:basedOn w:val="1090"/>
    <w:next w:val="76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0" w:customStyle="1">
    <w:name w:val="一级条标题"/>
    <w:basedOn w:val="1091"/>
    <w:next w:val="766"/>
    <w:uiPriority w:val="0"/>
    <w:qFormat/>
    <w:pPr>
      <w:numPr>
        <w:ilvl w:val="1"/>
      </w:numPr>
      <w:ind w:left="0" w:hanging="840"/>
      <w:tabs>
        <w:tab w:val="left" w:pos="360" w:leader="none"/>
        <w:tab w:val="left" w:pos="840" w:leader="none"/>
      </w:tabs>
      <w:outlineLvl w:val="1"/>
    </w:pPr>
  </w:style>
  <w:style w:type="paragraph" w:styleId="1091" w:customStyle="1">
    <w:name w:val="章标题"/>
    <w:next w:val="76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92" w:customStyle="1">
    <w:name w:val="font7"/>
    <w:basedOn w:val="766"/>
    <w:uiPriority w:val="0"/>
    <w:qFormat/>
    <w:pPr>
      <w:jc w:val="left"/>
      <w:spacing w:before="100" w:beforeAutospacing="1" w:after="100" w:afterAutospacing="1"/>
      <w:widowControl/>
    </w:pPr>
    <w:rPr>
      <w:rFonts w:eastAsia="Arial Unicode MS"/>
      <w:b/>
      <w:bCs/>
      <w:color w:val="000000"/>
      <w:sz w:val="20"/>
      <w:szCs w:val="20"/>
    </w:rPr>
  </w:style>
  <w:style w:type="paragraph" w:styleId="1093" w:customStyle="1">
    <w:name w:val="字元 字元"/>
    <w:basedOn w:val="766"/>
    <w:uiPriority w:val="0"/>
    <w:qFormat/>
    <w:rPr>
      <w:rFonts w:ascii="Tahoma" w:hAnsi="Tahoma"/>
      <w:sz w:val="24"/>
      <w:szCs w:val="20"/>
    </w:rPr>
  </w:style>
  <w:style w:type="paragraph" w:styleId="1094" w:customStyle="1">
    <w:name w:val="Char3 Char Char Char"/>
    <w:basedOn w:val="766"/>
    <w:uiPriority w:val="0"/>
    <w:qFormat/>
    <w:rPr>
      <w:rFonts w:ascii="Tahoma" w:hAnsi="Tahoma"/>
      <w:sz w:val="24"/>
      <w:szCs w:val="20"/>
    </w:rPr>
  </w:style>
  <w:style w:type="paragraph" w:styleId="1095" w:customStyle="1">
    <w:name w:val="font6"/>
    <w:basedOn w:val="766"/>
    <w:uiPriority w:val="0"/>
    <w:qFormat/>
    <w:pPr>
      <w:jc w:val="left"/>
      <w:spacing w:before="100" w:beforeAutospacing="1" w:after="100" w:afterAutospacing="1"/>
      <w:widowControl/>
    </w:pPr>
    <w:rPr>
      <w:rFonts w:ascii="宋体" w:hAnsi="宋体" w:cs="宋体"/>
      <w:sz w:val="20"/>
      <w:szCs w:val="20"/>
    </w:rPr>
  </w:style>
  <w:style w:type="paragraph" w:styleId="1096" w:customStyle="1">
    <w:name w:val="项目编号2"/>
    <w:basedOn w:val="1097"/>
    <w:uiPriority w:val="0"/>
    <w:qFormat/>
    <w:pPr>
      <w:numPr>
        <w:numId w:val="2"/>
      </w:numPr>
    </w:pPr>
  </w:style>
  <w:style w:type="paragraph" w:styleId="1097" w:customStyle="1">
    <w:name w:val="项目编号1"/>
    <w:basedOn w:val="766"/>
    <w:uiPriority w:val="0"/>
    <w:qFormat/>
    <w:pPr>
      <w:numPr>
        <w:ilvl w:val="0"/>
        <w:numId w:val="3"/>
      </w:numPr>
      <w:spacing w:before="100" w:beforeAutospacing="1" w:after="100" w:afterAutospacing="1" w:line="360" w:lineRule="auto"/>
    </w:pPr>
    <w:rPr>
      <w:sz w:val="24"/>
    </w:rPr>
  </w:style>
  <w:style w:type="paragraph" w:styleId="1098" w:customStyle="1">
    <w:name w:val="图中文字"/>
    <w:basedOn w:val="766"/>
    <w:uiPriority w:val="0"/>
    <w:qFormat/>
    <w:pPr>
      <w:jc w:val="center"/>
      <w:spacing w:line="0" w:lineRule="atLeast"/>
    </w:pPr>
    <w:rPr>
      <w:sz w:val="24"/>
      <w:szCs w:val="20"/>
    </w:rPr>
  </w:style>
  <w:style w:type="paragraph" w:styleId="1099" w:customStyle="1">
    <w:name w:val="xl46"/>
    <w:basedOn w:val="7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0" w:customStyle="1">
    <w:name w:val="xl25"/>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customStyle="1">
    <w:name w:val="Char2"/>
    <w:basedOn w:val="766"/>
    <w:uiPriority w:val="0"/>
    <w:qFormat/>
    <w:rPr>
      <w:rFonts w:ascii="Tahoma" w:hAnsi="Tahoma"/>
      <w:sz w:val="24"/>
      <w:szCs w:val="20"/>
    </w:rPr>
  </w:style>
  <w:style w:type="paragraph" w:styleId="1102" w:customStyle="1">
    <w:name w:val="xl35"/>
    <w:basedOn w:val="7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customStyle="1">
    <w:name w:val="xl4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52"/>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5" w:customStyle="1">
    <w:name w:val="xl4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6" w:customStyle="1">
    <w:name w:val="background1"/>
    <w:basedOn w:val="766"/>
    <w:uiPriority w:val="0"/>
    <w:qFormat/>
    <w:pPr>
      <w:jc w:val="left"/>
      <w:spacing w:before="100" w:beforeAutospacing="1" w:after="100" w:afterAutospacing="1"/>
      <w:widowControl/>
    </w:pPr>
    <w:rPr>
      <w:rFonts w:ascii="宋体" w:hAnsi="宋体" w:cs="宋体"/>
      <w:sz w:val="24"/>
    </w:rPr>
  </w:style>
  <w:style w:type="paragraph" w:styleId="1107" w:customStyle="1">
    <w:name w:val="Char Char Char Char Char Char Char"/>
    <w:basedOn w:val="766"/>
    <w:uiPriority w:val="0"/>
    <w:qFormat/>
    <w:pPr>
      <w:ind w:firstLine="200"/>
      <w:spacing w:line="360" w:lineRule="auto"/>
    </w:pPr>
    <w:rPr>
      <w:rFonts w:eastAsia="仿宋_GB2312"/>
      <w:sz w:val="24"/>
    </w:rPr>
  </w:style>
  <w:style w:type="paragraph" w:styleId="1108" w:customStyle="1">
    <w:name w:val="xl3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9" w:customStyle="1">
    <w:name w:val="xl36"/>
    <w:basedOn w:val="76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0" w:customStyle="1">
    <w:name w:val="正文 + 宋体"/>
    <w:basedOn w:val="766"/>
    <w:uiPriority w:val="0"/>
    <w:qFormat/>
    <w:pPr>
      <w:ind w:left="360" w:hanging="360"/>
      <w:jc w:val="left"/>
      <w:widowControl/>
    </w:pPr>
    <w:rPr>
      <w:rFonts w:ascii="宋体" w:hAnsi="宋体" w:cs="宋体"/>
      <w:b/>
      <w:bCs/>
      <w:color w:val="000000"/>
      <w:sz w:val="18"/>
      <w:szCs w:val="18"/>
    </w:rPr>
  </w:style>
  <w:style w:type="paragraph" w:styleId="1111" w:customStyle="1">
    <w:name w:val="正文列项_数字"/>
    <w:basedOn w:val="76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2" w:customStyle="1">
    <w:name w:val="xl3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customStyle="1">
    <w:name w:val="xl37"/>
    <w:basedOn w:val="7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xl32"/>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customStyle="1">
    <w:name w:val="font8"/>
    <w:basedOn w:val="766"/>
    <w:uiPriority w:val="0"/>
    <w:qFormat/>
    <w:pPr>
      <w:jc w:val="left"/>
      <w:spacing w:before="100" w:beforeAutospacing="1" w:after="100" w:afterAutospacing="1"/>
      <w:widowControl/>
    </w:pPr>
    <w:rPr>
      <w:sz w:val="36"/>
      <w:szCs w:val="36"/>
    </w:rPr>
  </w:style>
  <w:style w:type="paragraph" w:styleId="1116" w:customStyle="1">
    <w:name w:val="Char"/>
    <w:basedOn w:val="766"/>
    <w:uiPriority w:val="0"/>
    <w:qFormat/>
    <w:pPr>
      <w:tabs>
        <w:tab w:val="left" w:pos="360" w:leader="none"/>
      </w:tabs>
    </w:pPr>
    <w:rPr>
      <w:sz w:val="24"/>
    </w:rPr>
  </w:style>
  <w:style w:type="paragraph" w:styleId="1117" w:customStyle="1">
    <w:name w:val="Char Char Char Char Char Char Char Char Char Char Char Char Char Char Char Char"/>
    <w:basedOn w:val="766"/>
    <w:uiPriority w:val="0"/>
    <w:qFormat/>
    <w:pPr>
      <w:jc w:val="center"/>
      <w:spacing w:after="160" w:line="240" w:lineRule="exact"/>
      <w:widowControl/>
    </w:pPr>
    <w:rPr>
      <w:rFonts w:ascii="宋体" w:hAnsi="宋体"/>
      <w:b/>
      <w:sz w:val="30"/>
      <w:szCs w:val="30"/>
      <w:lang w:eastAsia="en-US"/>
    </w:rPr>
  </w:style>
  <w:style w:type="paragraph" w:styleId="1118" w:customStyle="1">
    <w:name w:val="xl45"/>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9" w:customStyle="1">
    <w:name w:val="Char Char1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1120" w:customStyle="1">
    <w:name w:val="Char Char1"/>
    <w:basedOn w:val="1014"/>
    <w:uiPriority w:val="0"/>
    <w:qFormat/>
    <w:rPr>
      <w:rFonts w:ascii="Tahoma" w:hAnsi="Tahoma"/>
      <w:sz w:val="24"/>
    </w:rPr>
  </w:style>
  <w:style w:type="paragraph" w:styleId="1121" w:customStyle="1">
    <w:name w:val="xl2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2" w:customStyle="1">
    <w:name w:val="xl3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customStyle="1">
    <w:name w:val="xl4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4" w:customStyle="1">
    <w:name w:val="样式 宋体 五号 行距: 单倍行距"/>
    <w:basedOn w:val="766"/>
    <w:uiPriority w:val="0"/>
    <w:qFormat/>
    <w:pPr>
      <w:jc w:val="left"/>
    </w:pPr>
    <w:rPr>
      <w:rFonts w:ascii="宋体" w:hAnsi="宋体"/>
      <w:szCs w:val="20"/>
    </w:rPr>
  </w:style>
  <w:style w:type="paragraph" w:styleId="1125" w:customStyle="1">
    <w:name w:val="Char1 Char Char Char1"/>
    <w:basedOn w:val="766"/>
    <w:uiPriority w:val="0"/>
    <w:qFormat/>
    <w:rPr>
      <w:rFonts w:ascii="Tahoma" w:hAnsi="Tahoma" w:cs="仿宋_GB2312"/>
      <w:sz w:val="24"/>
      <w:szCs w:val="28"/>
    </w:rPr>
  </w:style>
  <w:style w:type="paragraph" w:styleId="1126" w:customStyle="1">
    <w:name w:val="四级条标题"/>
    <w:basedOn w:val="1127"/>
    <w:next w:val="766"/>
    <w:uiPriority w:val="0"/>
    <w:qFormat/>
    <w:pPr>
      <w:numPr>
        <w:ilvl w:val="4"/>
      </w:numPr>
      <w:ind w:left="0" w:hanging="840"/>
      <w:tabs>
        <w:tab w:val="left" w:pos="360" w:leader="none"/>
        <w:tab w:val="left" w:pos="840" w:leader="none"/>
      </w:tabs>
      <w:outlineLvl w:val="4"/>
    </w:pPr>
  </w:style>
  <w:style w:type="paragraph" w:styleId="1127" w:customStyle="1">
    <w:name w:val="三级条标题"/>
    <w:basedOn w:val="1089"/>
    <w:next w:val="766"/>
    <w:uiPriority w:val="0"/>
    <w:qFormat/>
    <w:pPr>
      <w:numPr>
        <w:ilvl w:val="3"/>
        <w:numId w:val="1"/>
      </w:numPr>
      <w:ind w:left="0" w:hanging="840"/>
      <w:outlineLvl w:val="3"/>
    </w:pPr>
  </w:style>
  <w:style w:type="paragraph" w:styleId="112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29" w:customStyle="1">
    <w:name w:val="样式 标题 2 + 宋体 五号 行距: 单倍行距"/>
    <w:basedOn w:val="992"/>
    <w:uiPriority w:val="0"/>
    <w:qFormat/>
    <w:pPr>
      <w:numPr>
        <w:ilvl w:val="1"/>
        <w:numId w:val="4"/>
      </w:numPr>
      <w:jc w:val="left"/>
      <w:spacing w:before="260" w:after="260" w:line="240" w:lineRule="auto"/>
    </w:pPr>
    <w:rPr>
      <w:rFonts w:ascii="宋体" w:hAnsi="宋体" w:eastAsia="宋体"/>
      <w:bCs/>
      <w:sz w:val="21"/>
    </w:rPr>
  </w:style>
  <w:style w:type="paragraph" w:styleId="1130" w:customStyle="1">
    <w:name w:val="List Paragraph1"/>
    <w:basedOn w:val="766"/>
    <w:uiPriority w:val="0"/>
    <w:qFormat/>
    <w:pPr>
      <w:ind w:firstLine="420"/>
    </w:pPr>
    <w:rPr>
      <w:rFonts w:ascii="Calibri" w:hAnsi="Calibri"/>
      <w:szCs w:val="22"/>
    </w:rPr>
  </w:style>
  <w:style w:type="paragraph" w:styleId="1131" w:customStyle="1">
    <w:name w:val="项目符号1"/>
    <w:basedOn w:val="1132"/>
    <w:uiPriority w:val="0"/>
    <w:qFormat/>
    <w:pPr>
      <w:ind w:left="-25" w:firstLine="0"/>
    </w:pPr>
  </w:style>
  <w:style w:type="paragraph" w:styleId="1132" w:customStyle="1">
    <w:name w:val="正文文本样式"/>
    <w:basedOn w:val="766"/>
    <w:uiPriority w:val="0"/>
    <w:qFormat/>
    <w:pPr>
      <w:ind w:firstLine="482"/>
      <w:spacing w:line="360" w:lineRule="auto"/>
    </w:pPr>
    <w:rPr>
      <w:rFonts w:cs="宋体"/>
      <w:sz w:val="24"/>
      <w:szCs w:val="20"/>
    </w:rPr>
  </w:style>
  <w:style w:type="paragraph" w:styleId="1133" w:customStyle="1">
    <w:name w:val="xl2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customStyle="1">
    <w:name w:val="font5"/>
    <w:basedOn w:val="766"/>
    <w:uiPriority w:val="0"/>
    <w:qFormat/>
    <w:pPr>
      <w:jc w:val="left"/>
      <w:spacing w:before="100" w:beforeAutospacing="1" w:after="100" w:afterAutospacing="1"/>
      <w:widowControl/>
    </w:pPr>
    <w:rPr>
      <w:rFonts w:ascii="宋体" w:hAnsi="宋体" w:cs="宋体"/>
      <w:sz w:val="18"/>
      <w:szCs w:val="18"/>
    </w:rPr>
  </w:style>
  <w:style w:type="paragraph" w:styleId="1135" w:customStyle="1">
    <w:name w:val="五级条标题"/>
    <w:basedOn w:val="1126"/>
    <w:next w:val="766"/>
    <w:uiPriority w:val="0"/>
    <w:qFormat/>
    <w:pPr>
      <w:numPr>
        <w:ilvl w:val="5"/>
      </w:numPr>
      <w:ind w:left="0" w:hanging="840"/>
      <w:outlineLvl w:val="5"/>
    </w:pPr>
  </w:style>
  <w:style w:type="paragraph" w:styleId="1136" w:customStyle="1">
    <w:name w:val="xl49"/>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7" w:customStyle="1">
    <w:name w:val="文档正文"/>
    <w:basedOn w:val="766"/>
    <w:uiPriority w:val="0"/>
    <w:qFormat/>
    <w:pPr>
      <w:spacing w:before="120" w:after="120" w:line="180" w:lineRule="auto"/>
    </w:pPr>
    <w:rPr>
      <w:rFonts w:ascii="Arial" w:hAnsi="Arial"/>
      <w:szCs w:val="20"/>
    </w:rPr>
  </w:style>
  <w:style w:type="paragraph" w:styleId="1138" w:customStyle="1">
    <w:name w:val="xl3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customStyle="1">
    <w:name w:val="xl4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0" w:customStyle="1">
    <w:name w:val="Char Char Char1 Char"/>
    <w:basedOn w:val="766"/>
    <w:uiPriority w:val="0"/>
    <w:qFormat/>
    <w:rPr>
      <w:rFonts w:ascii="Tahoma" w:hAnsi="Tahoma"/>
      <w:sz w:val="24"/>
      <w:szCs w:val="20"/>
    </w:rPr>
  </w:style>
  <w:style w:type="paragraph" w:styleId="1141" w:customStyle="1">
    <w:name w:val="xl44"/>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2" w:customStyle="1">
    <w:name w:val="1名"/>
    <w:basedOn w:val="766"/>
    <w:uiPriority w:val="0"/>
    <w:qFormat/>
    <w:pPr>
      <w:numPr>
        <w:ilvl w:val="0"/>
        <w:numId w:val="5"/>
      </w:numPr>
      <w:spacing w:before="120"/>
    </w:pPr>
    <w:rPr>
      <w:rFonts w:ascii="宋体"/>
      <w:sz w:val="28"/>
      <w:szCs w:val="20"/>
    </w:rPr>
  </w:style>
  <w:style w:type="paragraph" w:styleId="1143" w:customStyle="1">
    <w:name w:val="font9"/>
    <w:basedOn w:val="76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4" w:customStyle="1">
    <w:name w:val="Char Char Char1 Char1"/>
    <w:basedOn w:val="766"/>
    <w:uiPriority w:val="0"/>
    <w:qFormat/>
    <w:rPr>
      <w:rFonts w:ascii="Tahoma" w:hAnsi="Tahoma"/>
      <w:sz w:val="24"/>
      <w:szCs w:val="20"/>
    </w:rPr>
  </w:style>
  <w:style w:type="paragraph" w:styleId="1145" w:customStyle="1">
    <w:name w:val="Char Char Char Char Char Char Char Char Char Char"/>
    <w:basedOn w:val="766"/>
    <w:uiPriority w:val="0"/>
    <w:qFormat/>
  </w:style>
  <w:style w:type="paragraph" w:styleId="1146" w:customStyle="1">
    <w:name w:val="Char Char1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47" w:customStyle="1">
    <w:name w:val="Char1"/>
    <w:basedOn w:val="766"/>
    <w:uiPriority w:val="0"/>
    <w:qFormat/>
    <w:pPr>
      <w:tabs>
        <w:tab w:val="left" w:pos="360" w:leader="none"/>
      </w:tabs>
    </w:pPr>
    <w:rPr>
      <w:sz w:val="24"/>
    </w:rPr>
  </w:style>
  <w:style w:type="paragraph" w:styleId="1148" w:customStyle="1">
    <w:name w:val="正文列项_字母"/>
    <w:basedOn w:val="76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49" w:customStyle="1">
    <w:name w:val="xl2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xl47"/>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1" w:customStyle="1">
    <w:name w:val="默认段落字体 Para Char Char Char Char"/>
    <w:basedOn w:val="766"/>
    <w:uiPriority w:val="0"/>
    <w:qFormat/>
    <w:rPr>
      <w:rFonts w:ascii="Arial" w:hAnsi="Arial" w:cs="Arial"/>
      <w:szCs w:val="21"/>
    </w:rPr>
  </w:style>
  <w:style w:type="paragraph" w:styleId="1152" w:customStyle="1">
    <w:name w:val="xl4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3" w:customStyle="1">
    <w:name w:val="xl31"/>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customStyle="1">
    <w:name w:val="xl5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customStyle="1">
    <w:name w:val="Char Char Char"/>
    <w:basedOn w:val="766"/>
    <w:uiPriority w:val="0"/>
    <w:qFormat/>
    <w:rPr>
      <w:rFonts w:ascii="Tahoma" w:hAnsi="Tahoma"/>
      <w:sz w:val="24"/>
      <w:szCs w:val="20"/>
    </w:rPr>
  </w:style>
  <w:style w:type="paragraph" w:styleId="1156" w:customStyle="1">
    <w:name w:val="xl50"/>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7" w:customStyle="1">
    <w:name w:val="缺省文本"/>
    <w:basedOn w:val="766"/>
    <w:uiPriority w:val="0"/>
    <w:qFormat/>
    <w:pPr>
      <w:jc w:val="left"/>
    </w:pPr>
    <w:rPr>
      <w:sz w:val="24"/>
    </w:rPr>
  </w:style>
  <w:style w:type="paragraph" w:styleId="1158" w:customStyle="1">
    <w:name w:val="Char Char Char1"/>
    <w:basedOn w:val="766"/>
    <w:uiPriority w:val="0"/>
    <w:qFormat/>
    <w:rPr>
      <w:rFonts w:ascii="Tahoma" w:hAnsi="Tahoma"/>
      <w:sz w:val="24"/>
      <w:szCs w:val="20"/>
    </w:rPr>
  </w:style>
  <w:style w:type="paragraph" w:styleId="1159" w:customStyle="1">
    <w:name w:val="Char Char Char Char Char Char Char1"/>
    <w:basedOn w:val="766"/>
    <w:uiPriority w:val="0"/>
    <w:qFormat/>
    <w:pPr>
      <w:ind w:firstLine="200"/>
      <w:spacing w:line="360" w:lineRule="auto"/>
    </w:pPr>
    <w:rPr>
      <w:rFonts w:eastAsia="仿宋_GB2312"/>
      <w:sz w:val="24"/>
    </w:rPr>
  </w:style>
  <w:style w:type="paragraph" w:styleId="1160" w:customStyle="1">
    <w:name w:val="xl51"/>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customStyle="1">
    <w:name w:val="样式2"/>
    <w:basedOn w:val="1051"/>
    <w:uiPriority w:val="0"/>
    <w:qFormat/>
    <w:pPr>
      <w:jc w:val="center"/>
      <w:spacing w:line="360" w:lineRule="auto"/>
    </w:pPr>
    <w:rPr>
      <w:sz w:val="24"/>
    </w:rPr>
  </w:style>
  <w:style w:type="paragraph" w:styleId="1162" w:customStyle="1">
    <w:name w:val="xl24"/>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customStyle="1">
    <w:name w:val="xl2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customStyle="1">
    <w:name w:val="正文 + 楷体_GB2312"/>
    <w:basedOn w:val="766"/>
    <w:uiPriority w:val="0"/>
    <w:qFormat/>
    <w:pPr>
      <w:jc w:val="left"/>
      <w:widowControl/>
    </w:pPr>
    <w:rPr>
      <w:rFonts w:ascii="楷体_GB2312" w:eastAsia="楷体_GB2312" w:cs="Arial"/>
      <w:sz w:val="24"/>
    </w:rPr>
  </w:style>
  <w:style w:type="paragraph" w:styleId="1165" w:customStyle="1">
    <w:name w:val="xl3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6" w:customStyle="1">
    <w:name w:val="1 Char Char Char Char"/>
    <w:basedOn w:val="766"/>
    <w:uiPriority w:val="0"/>
    <w:qFormat/>
    <w:rPr>
      <w:rFonts w:ascii="Tahoma" w:hAnsi="Tahoma"/>
      <w:sz w:val="24"/>
      <w:szCs w:val="20"/>
    </w:rPr>
  </w:style>
  <w:style w:type="paragraph" w:styleId="116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68" w:customStyle="1">
    <w:name w:val="列出段落1"/>
    <w:basedOn w:val="766"/>
    <w:uiPriority w:val="0"/>
    <w:qFormat/>
    <w:pPr>
      <w:ind w:firstLine="420"/>
    </w:pPr>
    <w:rPr>
      <w:rFonts w:ascii="Calibri" w:hAnsi="Calibri"/>
      <w:szCs w:val="22"/>
    </w:rPr>
  </w:style>
  <w:style w:type="paragraph" w:styleId="1169" w:customStyle="1">
    <w:name w:val="default"/>
    <w:basedOn w:val="766"/>
    <w:uiPriority w:val="0"/>
    <w:qFormat/>
    <w:pPr>
      <w:jc w:val="left"/>
      <w:spacing w:before="100" w:beforeAutospacing="1" w:after="100" w:afterAutospacing="1"/>
      <w:widowControl/>
    </w:pPr>
    <w:rPr>
      <w:rFonts w:ascii="宋体" w:hAnsi="宋体" w:cs="宋体"/>
      <w:sz w:val="24"/>
    </w:rPr>
  </w:style>
  <w:style w:type="paragraph" w:styleId="1170" w:customStyle="1">
    <w:name w:val="字元 字元1"/>
    <w:basedOn w:val="766"/>
    <w:uiPriority w:val="0"/>
    <w:qFormat/>
    <w:rPr>
      <w:rFonts w:ascii="Tahoma" w:hAnsi="Tahoma"/>
      <w:sz w:val="24"/>
      <w:szCs w:val="20"/>
    </w:rPr>
  </w:style>
  <w:style w:type="paragraph" w:styleId="1171" w:customStyle="1">
    <w:name w:val="_Style 160"/>
    <w:uiPriority w:val="0"/>
    <w:qFormat/>
    <w:rPr>
      <w:rFonts w:hint="default" w:ascii="Times New Roman" w:hAnsi="Times New Roman" w:eastAsia="宋体" w:cs="Times New Roman"/>
      <w:sz w:val="21"/>
      <w:szCs w:val="24"/>
      <w:lang w:val="en-US" w:eastAsia="zh-CN" w:bidi="ar-SA"/>
    </w:rPr>
  </w:style>
  <w:style w:type="paragraph" w:styleId="1172" w:customStyle="1">
    <w:name w:val="项目编号3"/>
    <w:basedOn w:val="1132"/>
    <w:uiPriority w:val="0"/>
    <w:qFormat/>
    <w:pPr>
      <w:numPr>
        <w:ilvl w:val="0"/>
        <w:numId w:val="6"/>
      </w:numPr>
    </w:pPr>
  </w:style>
  <w:style w:type="paragraph" w:styleId="1173" w:customStyle="1">
    <w:name w:val="Char21"/>
    <w:basedOn w:val="766"/>
    <w:uiPriority w:val="0"/>
    <w:qFormat/>
    <w:rPr>
      <w:rFonts w:ascii="Tahoma" w:hAnsi="Tahoma"/>
      <w:sz w:val="24"/>
      <w:szCs w:val="20"/>
    </w:rPr>
  </w:style>
  <w:style w:type="paragraph" w:styleId="1174" w:customStyle="1">
    <w:name w:val="表格文字"/>
    <w:basedOn w:val="1022"/>
    <w:uiPriority w:val="0"/>
    <w:qFormat/>
    <w:pPr>
      <w:ind w:firstLine="0"/>
      <w:spacing w:before="20" w:after="20" w:line="240" w:lineRule="auto"/>
    </w:pPr>
    <w:rPr>
      <w:rFonts w:ascii="Century Gothic" w:hAnsi="Century Gothic"/>
      <w:sz w:val="20"/>
      <w:szCs w:val="20"/>
    </w:rPr>
  </w:style>
  <w:style w:type="paragraph" w:styleId="1175" w:customStyle="1">
    <w:name w:val="Char Char Char Char Char Char Char Char Char Char1"/>
    <w:basedOn w:val="766"/>
    <w:uiPriority w:val="0"/>
    <w:qFormat/>
    <w:rPr>
      <w:rFonts w:ascii="宋体" w:hAnsi="宋体" w:cs="Courier New"/>
      <w:sz w:val="32"/>
      <w:szCs w:val="32"/>
    </w:rPr>
  </w:style>
  <w:style w:type="paragraph" w:styleId="1176" w:customStyle="1">
    <w:name w:val="正文文本样式 加粗"/>
    <w:basedOn w:val="1132"/>
    <w:uiPriority w:val="0"/>
    <w:qFormat/>
    <w:rPr>
      <w:b/>
    </w:rPr>
  </w:style>
  <w:style w:type="paragraph" w:styleId="1177" w:customStyle="1">
    <w:name w:val="Char2 Char Char Char Char Char Char"/>
    <w:basedOn w:val="766"/>
    <w:uiPriority w:val="0"/>
    <w:qFormat/>
    <w:pPr>
      <w:jc w:val="center"/>
      <w:spacing w:line="400" w:lineRule="exact"/>
      <w:widowControl/>
    </w:pPr>
  </w:style>
  <w:style w:type="paragraph" w:styleId="1178" w:customStyle="1">
    <w:name w:val="Char Char4"/>
    <w:basedOn w:val="766"/>
    <w:uiPriority w:val="0"/>
    <w:qFormat/>
    <w:pPr>
      <w:jc w:val="center"/>
      <w:spacing w:line="400" w:lineRule="exact"/>
      <w:widowControl/>
    </w:pPr>
  </w:style>
  <w:style w:type="paragraph" w:styleId="1179" w:customStyle="1">
    <w:name w:val="Char3 Char Char Char1"/>
    <w:basedOn w:val="766"/>
    <w:uiPriority w:val="0"/>
    <w:qFormat/>
    <w:rPr>
      <w:rFonts w:ascii="Tahoma" w:hAnsi="Tahoma"/>
      <w:sz w:val="24"/>
      <w:szCs w:val="20"/>
    </w:rPr>
  </w:style>
  <w:style w:type="paragraph" w:styleId="118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22222222222222"/>
    <w:basedOn w:val="766"/>
    <w:uiPriority w:val="0"/>
    <w:qFormat/>
    <w:pPr>
      <w:ind w:firstLine="480"/>
      <w:jc w:val="left"/>
      <w:spacing w:line="360" w:lineRule="auto"/>
      <w:widowControl/>
    </w:pPr>
    <w:rPr>
      <w:color w:val="ff0000"/>
      <w:sz w:val="24"/>
      <w:szCs w:val="20"/>
    </w:rPr>
  </w:style>
  <w:style w:type="character" w:styleId="1182" w:customStyle="1">
    <w:name w:val="中等深浅网格 1 - 强调文字颜色 2 Char"/>
    <w:link w:val="1183"/>
    <w:uiPriority w:val="0"/>
    <w:qFormat/>
    <w:rPr>
      <w:sz w:val="21"/>
      <w:szCs w:val="24"/>
      <w:lang w:val="zh-CN" w:eastAsia="zh-CN" w:bidi="ar-SA"/>
    </w:rPr>
  </w:style>
  <w:style w:type="paragraph" w:styleId="1183" w:customStyle="1">
    <w:name w:val="1"/>
    <w:link w:val="1182"/>
    <w:uiPriority w:val="0"/>
    <w:qFormat/>
    <w:rPr>
      <w:rFonts w:hint="default" w:ascii="Times New Roman" w:hAnsi="Times New Roman" w:eastAsia="宋体" w:cs="Times New Roman"/>
      <w:sz w:val="21"/>
      <w:szCs w:val="24"/>
      <w:lang w:val="zh-CN" w:eastAsia="zh-CN" w:bidi="ar-SA"/>
    </w:rPr>
  </w:style>
  <w:style w:type="paragraph" w:styleId="1184" w:customStyle="1">
    <w:name w:val="图文"/>
    <w:basedOn w:val="766"/>
    <w:uiPriority w:val="0"/>
    <w:qFormat/>
    <w:pPr>
      <w:spacing w:after="50" w:line="360" w:lineRule="auto"/>
    </w:pPr>
    <w:rPr>
      <w:sz w:val="24"/>
    </w:rPr>
  </w:style>
  <w:style w:type="paragraph" w:styleId="1185" w:customStyle="1">
    <w:name w:val="xl23"/>
    <w:basedOn w:val="766"/>
    <w:uiPriority w:val="0"/>
    <w:qFormat/>
    <w:pPr>
      <w:spacing w:before="100" w:beforeAutospacing="1" w:after="100" w:afterAutospacing="1" w:line="360" w:lineRule="auto"/>
      <w:widowControl/>
    </w:pPr>
    <w:rPr>
      <w:sz w:val="24"/>
      <w:szCs w:val="20"/>
    </w:rPr>
  </w:style>
  <w:style w:type="paragraph" w:styleId="1186" w:customStyle="1">
    <w:name w:val="正文表格"/>
    <w:basedOn w:val="766"/>
    <w:link w:val="1187"/>
    <w:uiPriority w:val="0"/>
    <w:qFormat/>
    <w:pPr>
      <w:jc w:val="left"/>
    </w:pPr>
    <w:rPr>
      <w:rFonts w:ascii="宋体" w:hAnsi="宋体"/>
      <w:color w:val="000000"/>
      <w:szCs w:val="21"/>
    </w:rPr>
  </w:style>
  <w:style w:type="character" w:styleId="1187" w:customStyle="1">
    <w:name w:val="正文表格 Char"/>
    <w:link w:val="1186"/>
    <w:uiPriority w:val="0"/>
    <w:qFormat/>
    <w:rPr>
      <w:rFonts w:ascii="宋体" w:hAnsi="宋体"/>
      <w:color w:val="000000"/>
      <w:sz w:val="21"/>
      <w:szCs w:val="21"/>
    </w:rPr>
  </w:style>
  <w:style w:type="paragraph" w:styleId="1188" w:customStyle="1">
    <w:name w:val="正文重点"/>
    <w:basedOn w:val="766"/>
    <w:link w:val="1189"/>
    <w:uiPriority w:val="0"/>
    <w:qFormat/>
    <w:pPr>
      <w:ind w:firstLine="482"/>
      <w:jc w:val="left"/>
      <w:spacing w:line="360" w:lineRule="auto"/>
    </w:pPr>
    <w:rPr>
      <w:b/>
      <w:sz w:val="24"/>
      <w:szCs w:val="20"/>
    </w:rPr>
  </w:style>
  <w:style w:type="character" w:styleId="1189" w:customStyle="1">
    <w:name w:val="正文重点 Char"/>
    <w:link w:val="1188"/>
    <w:uiPriority w:val="0"/>
    <w:qFormat/>
    <w:rPr>
      <w:b/>
      <w:sz w:val="24"/>
    </w:rPr>
  </w:style>
  <w:style w:type="paragraph" w:styleId="1190" w:customStyle="1">
    <w:name w:val="标题1-附件"/>
    <w:basedOn w:val="990"/>
    <w:uiPriority w:val="0"/>
    <w:qFormat/>
    <w:pPr>
      <w:jc w:val="left"/>
    </w:pPr>
    <w:rPr>
      <w:sz w:val="24"/>
      <w:szCs w:val="24"/>
    </w:rPr>
  </w:style>
  <w:style w:type="paragraph" w:styleId="1191" w:customStyle="1">
    <w:name w:val="正文小标题"/>
    <w:basedOn w:val="766"/>
    <w:next w:val="993"/>
    <w:link w:val="1192"/>
    <w:uiPriority w:val="0"/>
    <w:qFormat/>
    <w:pPr>
      <w:ind w:firstLine="482"/>
      <w:jc w:val="left"/>
      <w:spacing w:before="312" w:after="312"/>
    </w:pPr>
    <w:rPr>
      <w:rFonts w:ascii="宋体" w:hAnsi="宋体"/>
      <w:b/>
      <w:i/>
      <w:color w:val="ff0000"/>
      <w:sz w:val="24"/>
      <w:szCs w:val="20"/>
    </w:rPr>
  </w:style>
  <w:style w:type="character" w:styleId="1192" w:customStyle="1">
    <w:name w:val="正文小标题 Char"/>
    <w:link w:val="1191"/>
    <w:uiPriority w:val="0"/>
    <w:qFormat/>
    <w:rPr>
      <w:rFonts w:ascii="宋体" w:hAnsi="宋体"/>
      <w:b/>
      <w:i/>
      <w:color w:val="ff0000"/>
      <w:sz w:val="24"/>
    </w:rPr>
  </w:style>
  <w:style w:type="paragraph" w:styleId="1193" w:customStyle="1">
    <w:name w:val="正文大标题"/>
    <w:basedOn w:val="1191"/>
    <w:next w:val="993"/>
    <w:link w:val="1194"/>
    <w:uiPriority w:val="0"/>
    <w:qFormat/>
    <w:pPr>
      <w:jc w:val="center"/>
    </w:pPr>
    <w:rPr>
      <w:i w:val="0"/>
      <w:color w:val="000000"/>
      <w:sz w:val="28"/>
      <w:szCs w:val="21"/>
    </w:rPr>
  </w:style>
  <w:style w:type="character" w:styleId="1194" w:customStyle="1">
    <w:name w:val="正文大标题 Char"/>
    <w:link w:val="1193"/>
    <w:uiPriority w:val="0"/>
    <w:qFormat/>
    <w:rPr>
      <w:rFonts w:ascii="宋体" w:hAnsi="宋体"/>
      <w:b/>
      <w:color w:val="000000"/>
      <w:sz w:val="28"/>
      <w:szCs w:val="21"/>
    </w:rPr>
  </w:style>
  <w:style w:type="paragraph" w:styleId="1195" w:customStyle="1">
    <w:name w:val="注释"/>
    <w:basedOn w:val="766"/>
    <w:link w:val="1196"/>
    <w:uiPriority w:val="0"/>
    <w:qFormat/>
    <w:pPr>
      <w:ind w:left="420" w:hanging="420"/>
      <w:jc w:val="left"/>
    </w:pPr>
    <w:rPr>
      <w:rFonts w:ascii="宋体" w:hAnsi="宋体"/>
      <w:szCs w:val="21"/>
    </w:rPr>
  </w:style>
  <w:style w:type="character" w:styleId="1196" w:customStyle="1">
    <w:name w:val="注释 Char"/>
    <w:link w:val="1195"/>
    <w:uiPriority w:val="0"/>
    <w:qFormat/>
    <w:rPr>
      <w:rFonts w:ascii="宋体" w:hAnsi="宋体"/>
      <w:sz w:val="21"/>
      <w:szCs w:val="21"/>
    </w:rPr>
  </w:style>
  <w:style w:type="paragraph" w:styleId="1197" w:customStyle="1">
    <w:name w:val="正文须知-1级"/>
    <w:basedOn w:val="766"/>
    <w:next w:val="766"/>
    <w:uiPriority w:val="0"/>
    <w:qFormat/>
    <w:pPr>
      <w:numPr>
        <w:ilvl w:val="0"/>
        <w:numId w:val="7"/>
      </w:numPr>
      <w:spacing w:line="300" w:lineRule="auto"/>
    </w:pPr>
    <w:rPr>
      <w:rFonts w:ascii="宋体" w:hAnsi="Calibri"/>
      <w:sz w:val="24"/>
      <w:szCs w:val="21"/>
    </w:rPr>
  </w:style>
  <w:style w:type="paragraph" w:styleId="1198" w:customStyle="1">
    <w:name w:val="正文须知-2级"/>
    <w:basedOn w:val="766"/>
    <w:uiPriority w:val="0"/>
    <w:qFormat/>
    <w:pPr>
      <w:numPr>
        <w:ilvl w:val="1"/>
        <w:numId w:val="7"/>
      </w:numPr>
      <w:spacing w:line="300" w:lineRule="auto"/>
    </w:pPr>
    <w:rPr>
      <w:rFonts w:ascii="宋体" w:hAnsi="Calibri"/>
      <w:sz w:val="24"/>
      <w:szCs w:val="21"/>
    </w:rPr>
  </w:style>
  <w:style w:type="paragraph" w:styleId="1199" w:customStyle="1">
    <w:name w:val="正文须知-3级"/>
    <w:basedOn w:val="766"/>
    <w:uiPriority w:val="0"/>
    <w:qFormat/>
    <w:pPr>
      <w:numPr>
        <w:ilvl w:val="2"/>
        <w:numId w:val="7"/>
      </w:numPr>
      <w:ind w:hanging="355"/>
      <w:spacing w:line="300" w:lineRule="auto"/>
    </w:pPr>
    <w:rPr>
      <w:rFonts w:ascii="宋体" w:hAnsi="Calibri"/>
      <w:sz w:val="24"/>
      <w:szCs w:val="21"/>
    </w:rPr>
  </w:style>
  <w:style w:type="character" w:styleId="1200" w:customStyle="1">
    <w:name w:val="纯文本 字符"/>
    <w:link w:val="766"/>
    <w:uiPriority w:val="99"/>
    <w:qFormat/>
    <w:rPr>
      <w:rFonts w:ascii="宋体" w:hAnsi="Courier New" w:eastAsia="宋体" w:cs="Times New Roman"/>
      <w:sz w:val="21"/>
      <w:szCs w:val="21"/>
      <w:lang w:val="en-US" w:eastAsia="zh-CN" w:bidi="ar-SA"/>
    </w:rPr>
  </w:style>
  <w:style w:type="paragraph" w:styleId="1201" w:customStyle="1">
    <w:name w:val="表格1"/>
    <w:basedOn w:val="766"/>
    <w:uiPriority w:val="0"/>
    <w:qFormat/>
    <w:pPr>
      <w:ind w:firstLine="480"/>
      <w:jc w:val="center"/>
    </w:pPr>
    <w:rPr>
      <w:sz w:val="24"/>
      <w:szCs w:val="20"/>
    </w:rPr>
  </w:style>
  <w:style w:type="character" w:styleId="1202" w:customStyle="1">
    <w:name w:val="纯文本 字符1"/>
    <w:link w:val="766"/>
    <w:uiPriority w:val="0"/>
    <w:qFormat/>
    <w:rPr>
      <w:rFonts w:ascii="宋体" w:hAnsi="Courier New"/>
    </w:rPr>
  </w:style>
  <w:style w:type="character" w:styleId="1203" w:customStyle="1">
    <w:name w:val="bjh-p"/>
    <w:link w:val="766"/>
    <w:uiPriority w:val="0"/>
    <w:qFormat/>
  </w:style>
  <w:style w:type="paragraph" w:styleId="1204" w:customStyle="1">
    <w:name w:val="无标题条"/>
    <w:next w:val="766"/>
    <w:uiPriority w:val="0"/>
    <w:qFormat/>
    <w:pPr>
      <w:jc w:val="both"/>
    </w:pPr>
    <w:rPr>
      <w:rFonts w:hint="default" w:ascii="Times New Roman" w:hAnsi="Times New Roman" w:eastAsia="宋体" w:cs="Times New Roman"/>
      <w:sz w:val="21"/>
      <w:lang w:val="en-US" w:eastAsia="zh-CN" w:bidi="ar-SA"/>
    </w:rPr>
  </w:style>
  <w:style w:type="character" w:styleId="1205" w:customStyle="1">
    <w:name w:val="正文格式 Char"/>
    <w:link w:val="1206"/>
    <w:uiPriority w:val="0"/>
    <w:qFormat/>
    <w:rPr>
      <w:rFonts w:ascii="宋体" w:hAnsi="宋体"/>
      <w:sz w:val="24"/>
      <w:szCs w:val="24"/>
      <w:lang w:val="en-GB"/>
    </w:rPr>
  </w:style>
  <w:style w:type="paragraph" w:styleId="1206" w:customStyle="1">
    <w:name w:val="正文格式"/>
    <w:basedOn w:val="766"/>
    <w:link w:val="1205"/>
    <w:uiPriority w:val="0"/>
    <w:qFormat/>
    <w:pPr>
      <w:ind w:firstLine="480"/>
      <w:spacing w:line="360" w:lineRule="auto"/>
    </w:pPr>
    <w:rPr>
      <w:rFonts w:ascii="宋体" w:hAnsi="宋体"/>
      <w:sz w:val="24"/>
      <w:lang w:val="en-GB"/>
    </w:rPr>
  </w:style>
  <w:style w:type="character" w:styleId="1207" w:customStyle="1">
    <w:name w:val="标题 3 Char"/>
    <w:link w:val="766"/>
    <w:uiPriority w:val="0"/>
    <w:qFormat/>
    <w:rPr>
      <w:rFonts w:ascii="宋体" w:eastAsia="宋体"/>
      <w:b/>
      <w:sz w:val="24"/>
      <w:u w:val="single"/>
      <w:lang w:val="en-US" w:eastAsia="zh-CN" w:bidi="ar-SA"/>
    </w:rPr>
  </w:style>
  <w:style w:type="character" w:styleId="1208" w:customStyle="1">
    <w:name w:val="正文缩进 Char"/>
    <w:link w:val="766"/>
    <w:uiPriority w:val="0"/>
    <w:qFormat/>
    <w:rPr>
      <w:rFonts w:ascii="宋体" w:eastAsia="宋体"/>
      <w:sz w:val="24"/>
      <w:szCs w:val="24"/>
      <w:lang w:val="en-US" w:eastAsia="zh-CN" w:bidi="ar-SA"/>
    </w:rPr>
  </w:style>
  <w:style w:type="character" w:styleId="1209" w:customStyle="1">
    <w:name w:val="Char Char111"/>
    <w:link w:val="766"/>
    <w:uiPriority w:val="0"/>
    <w:qFormat/>
    <w:rPr>
      <w:rFonts w:ascii="宋体" w:eastAsia="宋体"/>
      <w:b/>
      <w:sz w:val="24"/>
      <w:u w:val="single"/>
      <w:lang w:val="en-US" w:eastAsia="zh-CN" w:bidi="ar-SA"/>
    </w:rPr>
  </w:style>
  <w:style w:type="character" w:styleId="1210" w:customStyle="1">
    <w:name w:val="正文文本缩进 Char"/>
    <w:link w:val="766"/>
    <w:uiPriority w:val="0"/>
    <w:qFormat/>
    <w:rPr>
      <w:rFonts w:eastAsia="宋体"/>
      <w:sz w:val="24"/>
      <w:szCs w:val="24"/>
      <w:lang w:val="en-US" w:eastAsia="zh-CN" w:bidi="ar-SA"/>
    </w:rPr>
  </w:style>
  <w:style w:type="character" w:styleId="1211" w:customStyle="1">
    <w:name w:val="列出段落 Char"/>
    <w:link w:val="766"/>
    <w:uiPriority w:val="0"/>
    <w:qFormat/>
    <w:rPr>
      <w:rFonts w:ascii="Calibri" w:hAnsi="Calibri" w:eastAsia="宋体"/>
      <w:sz w:val="21"/>
      <w:szCs w:val="22"/>
      <w:lang w:val="en-US" w:eastAsia="zh-CN" w:bidi="ar-SA"/>
    </w:rPr>
  </w:style>
  <w:style w:type="character" w:styleId="1212" w:customStyle="1">
    <w:name w:val="页眉 Char"/>
    <w:link w:val="766"/>
    <w:uiPriority w:val="0"/>
    <w:qFormat/>
    <w:rPr>
      <w:rFonts w:eastAsia="宋体"/>
      <w:sz w:val="18"/>
      <w:szCs w:val="18"/>
      <w:lang w:val="en-US" w:eastAsia="zh-CN" w:bidi="ar-SA"/>
    </w:rPr>
  </w:style>
  <w:style w:type="character" w:styleId="1213" w:customStyle="1">
    <w:name w:val="标题 2 Char"/>
    <w:link w:val="766"/>
    <w:uiPriority w:val="0"/>
    <w:qFormat/>
    <w:rPr>
      <w:rFonts w:ascii="Arial" w:hAnsi="Arial" w:eastAsia="黑体"/>
      <w:b/>
      <w:sz w:val="30"/>
      <w:lang w:val="en-US" w:eastAsia="zh-CN" w:bidi="ar-SA"/>
    </w:rPr>
  </w:style>
  <w:style w:type="paragraph" w:styleId="1214" w:customStyle="1">
    <w:name w:val="字元 字元2"/>
    <w:basedOn w:val="766"/>
    <w:uiPriority w:val="0"/>
    <w:qFormat/>
    <w:rPr>
      <w:rFonts w:ascii="Tahoma" w:hAnsi="Tahoma"/>
      <w:sz w:val="24"/>
      <w:szCs w:val="20"/>
    </w:rPr>
  </w:style>
  <w:style w:type="paragraph" w:styleId="1215" w:customStyle="1">
    <w:name w:val="Char3 Char Char Char2"/>
    <w:basedOn w:val="766"/>
    <w:uiPriority w:val="0"/>
    <w:qFormat/>
    <w:rPr>
      <w:rFonts w:ascii="Tahoma" w:hAnsi="Tahoma"/>
      <w:sz w:val="24"/>
      <w:szCs w:val="20"/>
    </w:rPr>
  </w:style>
  <w:style w:type="paragraph" w:styleId="1216" w:customStyle="1">
    <w:name w:val="正文文本缩进2"/>
    <w:basedOn w:val="766"/>
    <w:uiPriority w:val="0"/>
    <w:qFormat/>
    <w:pPr>
      <w:ind w:firstLine="480"/>
      <w:spacing w:line="480" w:lineRule="exact"/>
    </w:pPr>
    <w:rPr>
      <w:rFonts w:ascii="宋体" w:hAnsi="宋体"/>
      <w:sz w:val="24"/>
      <w:lang w:val="zh-CN" w:eastAsia="zh-CN"/>
    </w:rPr>
  </w:style>
  <w:style w:type="paragraph" w:styleId="1217" w:customStyle="1">
    <w:name w:val="Char3"/>
    <w:basedOn w:val="766"/>
    <w:uiPriority w:val="0"/>
    <w:qFormat/>
    <w:pPr>
      <w:tabs>
        <w:tab w:val="left" w:pos="360" w:leader="none"/>
      </w:tabs>
    </w:pPr>
    <w:rPr>
      <w:sz w:val="24"/>
    </w:rPr>
  </w:style>
  <w:style w:type="paragraph" w:styleId="1218" w:customStyle="1">
    <w:name w:val="Char Char Char Char Char Char Char Char Char Char Char Char Char Char Char Char1"/>
    <w:basedOn w:val="766"/>
    <w:uiPriority w:val="0"/>
    <w:qFormat/>
    <w:pPr>
      <w:jc w:val="center"/>
      <w:spacing w:after="160" w:line="240" w:lineRule="exact"/>
      <w:widowControl/>
    </w:pPr>
    <w:rPr>
      <w:rFonts w:ascii="宋体" w:hAnsi="宋体"/>
      <w:b/>
      <w:sz w:val="30"/>
      <w:szCs w:val="30"/>
      <w:lang w:eastAsia="en-US"/>
    </w:rPr>
  </w:style>
  <w:style w:type="paragraph" w:styleId="1219" w:customStyle="1">
    <w:name w:val="Char Char1 Char Char Char Char Char Char1"/>
    <w:basedOn w:val="766"/>
    <w:uiPriority w:val="0"/>
    <w:qFormat/>
    <w:pPr>
      <w:jc w:val="left"/>
      <w:spacing w:after="160" w:line="240" w:lineRule="exact"/>
      <w:widowControl/>
    </w:pPr>
    <w:rPr>
      <w:rFonts w:ascii="Verdana" w:hAnsi="Verdana" w:eastAsia="仿宋_GB2312"/>
      <w:sz w:val="24"/>
      <w:szCs w:val="20"/>
      <w:lang w:eastAsia="en-US"/>
    </w:rPr>
  </w:style>
  <w:style w:type="paragraph" w:styleId="1220" w:customStyle="1">
    <w:name w:val="列出段落2"/>
    <w:basedOn w:val="766"/>
    <w:uiPriority w:val="0"/>
    <w:qFormat/>
    <w:pPr>
      <w:ind w:firstLine="420"/>
    </w:pPr>
    <w:rPr>
      <w:rFonts w:ascii="Calibri" w:hAnsi="Calibri"/>
      <w:szCs w:val="22"/>
    </w:rPr>
  </w:style>
  <w:style w:type="paragraph" w:styleId="1221" w:customStyle="1">
    <w:name w:val="Char Char Char1 Char2"/>
    <w:basedOn w:val="766"/>
    <w:uiPriority w:val="0"/>
    <w:qFormat/>
    <w:rPr>
      <w:rFonts w:ascii="Tahoma" w:hAnsi="Tahoma"/>
      <w:sz w:val="24"/>
      <w:szCs w:val="20"/>
    </w:rPr>
  </w:style>
  <w:style w:type="paragraph" w:styleId="1222" w:customStyle="1">
    <w:name w:val="Char Char Char2"/>
    <w:basedOn w:val="766"/>
    <w:uiPriority w:val="0"/>
    <w:qFormat/>
    <w:rPr>
      <w:rFonts w:ascii="Tahoma" w:hAnsi="Tahoma"/>
      <w:sz w:val="24"/>
      <w:szCs w:val="20"/>
    </w:rPr>
  </w:style>
  <w:style w:type="paragraph" w:styleId="1223" w:customStyle="1">
    <w:name w:val="Char Char Char Char Char Char Char2"/>
    <w:basedOn w:val="766"/>
    <w:uiPriority w:val="0"/>
    <w:qFormat/>
    <w:pPr>
      <w:ind w:firstLine="200"/>
      <w:spacing w:line="360" w:lineRule="auto"/>
    </w:pPr>
    <w:rPr>
      <w:rFonts w:eastAsia="仿宋_GB2312"/>
      <w:sz w:val="24"/>
    </w:rPr>
  </w:style>
  <w:style w:type="paragraph" w:styleId="1224" w:customStyle="1">
    <w:name w:val="正文缩进2"/>
    <w:basedOn w:val="766"/>
    <w:uiPriority w:val="0"/>
    <w:qFormat/>
    <w:pPr>
      <w:ind w:firstLine="567"/>
      <w:spacing w:line="480" w:lineRule="exact"/>
      <w:widowControl/>
    </w:pPr>
    <w:rPr>
      <w:rFonts w:ascii="宋体"/>
      <w:color w:val="000000"/>
      <w:sz w:val="28"/>
      <w:szCs w:val="20"/>
      <w:lang w:val="zh-CN" w:eastAsia="zh-CN"/>
    </w:rPr>
  </w:style>
  <w:style w:type="paragraph" w:styleId="1225" w:customStyle="1">
    <w:name w:val="Revision"/>
    <w:uiPriority w:val="0"/>
    <w:qFormat/>
    <w:rPr>
      <w:rFonts w:hint="default" w:ascii="Times New Roman" w:hAnsi="Times New Roman" w:eastAsia="宋体" w:cs="Times New Roman"/>
      <w:sz w:val="21"/>
      <w:szCs w:val="24"/>
      <w:lang w:val="en-US" w:eastAsia="zh-CN" w:bidi="ar-SA"/>
    </w:rPr>
  </w:style>
  <w:style w:type="paragraph" w:styleId="1226" w:customStyle="1">
    <w:name w:val="Char22"/>
    <w:basedOn w:val="766"/>
    <w:uiPriority w:val="0"/>
    <w:qFormat/>
    <w:rPr>
      <w:rFonts w:ascii="Tahoma" w:hAnsi="Tahoma"/>
      <w:sz w:val="24"/>
      <w:szCs w:val="20"/>
    </w:rPr>
  </w:style>
  <w:style w:type="paragraph" w:styleId="1227" w:customStyle="1">
    <w:name w:val="Char Char Char Char Char Char Char Char Char Char2"/>
    <w:basedOn w:val="766"/>
    <w:uiPriority w:val="0"/>
    <w:qFormat/>
    <w:rPr>
      <w:rFonts w:ascii="宋体" w:hAnsi="宋体" w:cs="Courier New"/>
      <w:sz w:val="32"/>
      <w:szCs w:val="32"/>
    </w:rPr>
  </w:style>
  <w:style w:type="paragraph" w:styleId="1228" w:customStyle="1">
    <w:name w:val="Char2 Char Char Char Char Char Char1"/>
    <w:basedOn w:val="766"/>
    <w:uiPriority w:val="0"/>
    <w:qFormat/>
    <w:pPr>
      <w:jc w:val="center"/>
      <w:spacing w:line="400" w:lineRule="exact"/>
      <w:widowControl/>
    </w:pPr>
  </w:style>
  <w:style w:type="character" w:styleId="1229" w:customStyle="1">
    <w:name w:val="页脚 Char"/>
    <w:link w:val="766"/>
    <w:uiPriority w:val="0"/>
    <w:qFormat/>
    <w:rPr>
      <w:rFonts w:ascii="宋体" w:eastAsia="宋体"/>
      <w:sz w:val="18"/>
      <w:lang w:val="en-US" w:eastAsia="zh-CN" w:bidi="ar-SA"/>
    </w:rPr>
  </w:style>
  <w:style w:type="paragraph" w:styleId="1230" w:customStyle="1">
    <w:name w:val="Char Char41"/>
    <w:basedOn w:val="766"/>
    <w:uiPriority w:val="0"/>
    <w:qFormat/>
    <w:pPr>
      <w:jc w:val="center"/>
      <w:spacing w:line="400" w:lineRule="exact"/>
      <w:widowControl/>
    </w:pPr>
  </w:style>
  <w:style w:type="character" w:styleId="1231" w:customStyle="1">
    <w:name w:val="批注文字 Char"/>
    <w:link w:val="766"/>
    <w:uiPriority w:val="99"/>
    <w:qFormat/>
    <w:rPr>
      <w:sz w:val="21"/>
      <w:szCs w:val="24"/>
    </w:rPr>
  </w:style>
  <w:style w:type="character" w:styleId="1232" w:customStyle="1">
    <w:name w:val="标题 Char"/>
    <w:link w:val="766"/>
    <w:uiPriority w:val="0"/>
    <w:qFormat/>
    <w:rPr>
      <w:b/>
      <w:sz w:val="32"/>
    </w:rPr>
  </w:style>
  <w:style w:type="paragraph" w:styleId="1233" w:customStyle="1">
    <w:name w:val="图例"/>
    <w:basedOn w:val="766"/>
    <w:uiPriority w:val="0"/>
    <w:qFormat/>
    <w:pPr>
      <w:jc w:val="center"/>
      <w:spacing w:before="120" w:after="120" w:line="360" w:lineRule="auto"/>
    </w:pPr>
    <w:rPr>
      <w:rFonts w:eastAsia="仿宋_GB2312"/>
      <w:b/>
      <w:sz w:val="24"/>
      <w:szCs w:val="20"/>
    </w:rPr>
  </w:style>
  <w:style w:type="table" w:styleId="1234" w:customStyle="1">
    <w:name w:val="Table Normal"/>
    <w:uiPriority w:val="2"/>
    <w:unhideWhenUsed/>
    <w:qFormat/>
    <w:pPr>
      <w:widowControl w:val="off"/>
    </w:pPr>
    <w:rPr>
      <w:rFonts w:ascii="Calibri" w:hAnsi="Calibri"/>
      <w:sz w:val="22"/>
      <w:szCs w:val="22"/>
      <w:lang w:val="en-US" w:eastAsia="en-US" w:bidi="ar-SA"/>
    </w:rPr>
    <w:tblPr/>
  </w:style>
  <w:style w:type="paragraph" w:styleId="1235" w:customStyle="1">
    <w:name w:val="Table Paragraph"/>
    <w:basedOn w:val="766"/>
    <w:uiPriority w:val="1"/>
    <w:qFormat/>
    <w:pPr>
      <w:jc w:val="left"/>
    </w:pPr>
    <w:rPr>
      <w:rFonts w:ascii="宋体" w:hAnsi="宋体" w:cs="宋体"/>
      <w:sz w:val="22"/>
      <w:szCs w:val="22"/>
      <w:lang w:eastAsia="en-US"/>
    </w:rPr>
  </w:style>
  <w:style w:type="paragraph" w:styleId="1236" w:customStyle="1">
    <w:name w:val="成文日期"/>
    <w:basedOn w:val="766"/>
    <w:link w:val="1237"/>
    <w:uiPriority w:val="0"/>
    <w:qFormat/>
    <w:pPr>
      <w:ind w:right="400" w:firstLine="200"/>
      <w:jc w:val="right"/>
      <w:spacing w:line="570" w:lineRule="exact"/>
    </w:pPr>
    <w:rPr>
      <w:rFonts w:ascii="仿宋_GB2312" w:eastAsia="仿宋_GB2312"/>
      <w:sz w:val="32"/>
      <w:szCs w:val="20"/>
    </w:rPr>
  </w:style>
  <w:style w:type="character" w:styleId="1237" w:customStyle="1">
    <w:name w:val="成文日期 Char"/>
    <w:link w:val="1236"/>
    <w:uiPriority w:val="0"/>
    <w:qFormat/>
    <w:rPr>
      <w:rFonts w:ascii="仿宋_GB2312" w:eastAsia="仿宋_GB2312"/>
      <w:sz w:val="32"/>
    </w:rPr>
  </w:style>
  <w:style w:type="paragraph" w:styleId="1238"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39" w:customStyle="1">
    <w:name w:val="正文缩进 字符"/>
    <w:link w:val="766"/>
    <w:uiPriority w:val="99"/>
    <w:qFormat/>
    <w:rPr>
      <w:rFonts w:ascii="宋体" w:hAnsi="Times New Roman" w:eastAsia="宋体" w:cs="Times New Roman"/>
      <w:sz w:val="24"/>
    </w:rPr>
  </w:style>
  <w:style w:type="character" w:styleId="1240" w:customStyle="1">
    <w:name w:val="正文文本 字符"/>
    <w:link w:val="766"/>
    <w:uiPriority w:val="0"/>
    <w:qFormat/>
    <w:rPr>
      <w:rFonts w:ascii="宋体" w:hAnsi="宋体"/>
      <w:sz w:val="24"/>
      <w:szCs w:val="24"/>
    </w:rPr>
  </w:style>
  <w:style w:type="paragraph" w:styleId="1241" w:customStyle="1">
    <w:name w:val="纯文本1"/>
    <w:next w:val="1042"/>
    <w:uiPriority w:val="0"/>
    <w:qFormat/>
    <w:pPr>
      <w:jc w:val="both"/>
      <w:widowControl w:val="off"/>
    </w:pPr>
    <w:rPr>
      <w:rFonts w:hint="default" w:ascii="宋体" w:hAnsi="宋体" w:eastAsia="宋体" w:cs="Times New Roman"/>
      <w:sz w:val="26"/>
      <w:szCs w:val="24"/>
      <w:lang w:val="en-US" w:eastAsia="zh-CN" w:bidi="ar-SA"/>
    </w:rPr>
  </w:style>
  <w:style w:type="paragraph" w:styleId="12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3" w:customStyle="1">
    <w:name w:val="正文缩进 字符2"/>
    <w:link w:val="766"/>
    <w:uiPriority w:val="0"/>
    <w:qFormat/>
    <w:rPr>
      <w:rFonts w:ascii="宋体" w:eastAsia="宋体"/>
      <w:sz w:val="24"/>
      <w:szCs w:val="24"/>
      <w:lang w:val="en-US" w:eastAsia="zh-CN" w:bidi="ar-SA"/>
    </w:rPr>
  </w:style>
  <w:style w:type="character" w:styleId="1244" w:customStyle="1">
    <w:name w:val="纯文本 字符3"/>
    <w:link w:val="766"/>
    <w:uiPriority w:val="0"/>
    <w:qFormat/>
    <w:rPr>
      <w:rFonts w:hint="eastAsia" w:ascii="宋体" w:hAnsi="Courier New" w:eastAsia="宋体" w:cs="宋体"/>
      <w:sz w:val="21"/>
    </w:rPr>
  </w:style>
  <w:style w:type="character" w:styleId="1245" w:customStyle="1">
    <w:name w:val="font31"/>
    <w:basedOn w:val="814"/>
    <w:link w:val="766"/>
    <w:uiPriority w:val="0"/>
    <w:qFormat/>
    <w:rPr>
      <w:rFonts w:hint="eastAsia" w:ascii="宋体" w:hAnsi="宋体" w:eastAsia="宋体" w:cs="宋体"/>
      <w:color w:val="000000"/>
      <w:sz w:val="21"/>
      <w:szCs w:val="21"/>
      <w:u w:val="none"/>
    </w:rPr>
  </w:style>
  <w:style w:type="paragraph" w:styleId="1246" w:customStyle="1">
    <w:name w:val="Table Text"/>
    <w:basedOn w:val="766"/>
    <w:uiPriority w:val="0"/>
    <w:semiHidden/>
    <w:qFormat/>
    <w:rPr>
      <w:rFonts w:ascii="宋体" w:hAnsi="宋体" w:eastAsia="宋体" w:cs="宋体"/>
      <w:sz w:val="24"/>
      <w:szCs w:val="24"/>
      <w:lang w:val="en-US" w:eastAsia="en-US" w:bidi="ar-SA"/>
    </w:rPr>
  </w:style>
  <w:style w:type="paragraph" w:styleId="1247" w:customStyle="1">
    <w:name w:val="附件"/>
    <w:basedOn w:val="766"/>
    <w:uiPriority w:val="0"/>
    <w:qFormat/>
    <w:pPr>
      <w:spacing w:line="360" w:lineRule="auto"/>
    </w:pPr>
    <w:rPr>
      <w:rFonts w:hint="eastAsia" w:ascii="仿宋" w:hAnsi="仿宋" w:cs="仿宋"/>
      <w:sz w:val="24"/>
      <w:szCs w:val="24"/>
    </w:rPr>
  </w:style>
  <w:style w:type="paragraph" w:styleId="1248" w:customStyle="1">
    <w:name w:val="null3"/>
    <w:hidden/>
    <w:uiPriority w:val="0"/>
    <w:qFormat/>
    <w:rPr>
      <w:rFonts w:hint="eastAsia" w:ascii="Calibri" w:hAnsi="Calibri" w:eastAsia="宋体" w:cs="Times New Roman"/>
      <w:lang w:val="en-US" w:eastAsia="zh-CN" w:bidi="ar-SA"/>
    </w:rPr>
  </w:style>
  <w:style w:type="numbering" w:styleId="17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张晓东</cp:lastModifiedBy>
  <cp:revision>6</cp:revision>
  <dcterms:created xsi:type="dcterms:W3CDTF">2022-05-30T08:08:00Z</dcterms:created>
  <dcterms:modified xsi:type="dcterms:W3CDTF">2025-11-25T08:09:56Z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eyJoZGlkIjoiNTBjYWRiMmY2ODJhOGMyYjEwZWRlNzQ0ZWNlOGJjMTQiLCJ1c2VySWQiOiIzMzc2MzgwMzgifQ==</vt:lpwstr>
  </property>
  <property fmtid="{D5CDD505-2E9C-101B-9397-08002B2CF9AE}" pid="3" name="KSOProductBuildVer">
    <vt:lpwstr>2052-12.1.0.20784</vt:lpwstr>
  </property>
  <property fmtid="{D5CDD505-2E9C-101B-9397-08002B2CF9AE}" pid="4" name="ICV">
    <vt:lpwstr>C2706CD759024AF8A80955C0FD4B4E4D_13</vt:lpwstr>
  </property>
</Properties>
</file>